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SectionMark0"/>
    <w:bookmarkStart w:id="1" w:name="SectionMark4"/>
    <w:p w14:paraId="3D1C863B" w14:textId="77777777" w:rsidR="0084387C" w:rsidRDefault="00000000">
      <w:pPr>
        <w:pStyle w:val="aff"/>
        <w:ind w:firstLine="480"/>
        <w:sectPr w:rsidR="0084387C">
          <w:headerReference w:type="even" r:id="rId8"/>
          <w:headerReference w:type="default" r:id="rId9"/>
          <w:footerReference w:type="even" r:id="rId10"/>
          <w:footerReference w:type="default" r:id="rId11"/>
          <w:headerReference w:type="first" r:id="rId12"/>
          <w:pgSz w:w="11907" w:h="16840"/>
          <w:pgMar w:top="567" w:right="851" w:bottom="1361" w:left="1418" w:header="0" w:footer="0" w:gutter="0"/>
          <w:pgNumType w:start="1"/>
          <w:cols w:space="425"/>
          <w:titlePg/>
          <w:docGrid w:linePitch="312"/>
        </w:sectPr>
      </w:pPr>
      <w:r>
        <w:rPr>
          <w:noProof/>
        </w:rPr>
        <mc:AlternateContent>
          <mc:Choice Requires="wps">
            <w:drawing>
              <wp:anchor distT="0" distB="0" distL="114300" distR="114300" simplePos="0" relativeHeight="251669504" behindDoc="0" locked="0" layoutInCell="1" allowOverlap="1" wp14:anchorId="73920941" wp14:editId="447A07D6">
                <wp:simplePos x="0" y="0"/>
                <wp:positionH relativeFrom="column">
                  <wp:posOffset>4880610</wp:posOffset>
                </wp:positionH>
                <wp:positionV relativeFrom="paragraph">
                  <wp:posOffset>8785860</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ln>
                      </wps:spPr>
                      <wps:txbx>
                        <w:txbxContent>
                          <w:p w14:paraId="37CE7481" w14:textId="77777777" w:rsidR="0084387C" w:rsidRDefault="00000000">
                            <w:pPr>
                              <w:rPr>
                                <w:sz w:val="28"/>
                                <w:szCs w:val="28"/>
                              </w:rPr>
                            </w:pPr>
                            <w:r>
                              <w:rPr>
                                <w:rStyle w:val="afa"/>
                                <w:rFonts w:hint="eastAsia"/>
                                <w:szCs w:val="28"/>
                              </w:rPr>
                              <w:t>发布</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rect id="Rectangle 36" o:spid="_x0000_s1026" o:spt="1" style="position:absolute;left:0pt;margin-left:384.3pt;margin-top:691.8pt;height:23.4pt;width:52.5pt;z-index:251669504;mso-width-relative:page;mso-height-relative:page;" fillcolor="#FFFFFF" filled="t" stroked="t" coordsize="21600,21600" o:gfxdata="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WAAAAZHJzL1BLAQIUABQAAAAIAIdO4kA4gnGH2QAAAA0BAAAPAAAAAAAAAAEAIAAA&#10;ADgAAABkcnMvZG93bnJldi54bWxQSwECFAAUAAAACACHTuJARqxhYi4CAAB+BAAADgAAAAAAAAAB&#10;ACAAAAA+AQAAZHJzL2Uyb0RvYy54bWxQSwUGAAAAAAYABgBZAQAA3gUAAAAA&#10;">
                <v:fill on="t" focussize="0,0"/>
                <v:stroke color="#FFFFFF" miterlimit="8" joinstyle="miter"/>
                <v:imagedata o:title=""/>
                <o:lock v:ext="edit" aspectratio="f"/>
                <v:textbox>
                  <w:txbxContent>
                    <w:p>
                      <w:pPr>
                        <w:rPr>
                          <w:sz w:val="28"/>
                          <w:szCs w:val="28"/>
                        </w:rPr>
                      </w:pPr>
                      <w:r>
                        <w:rPr>
                          <w:rStyle w:val="22"/>
                          <w:rFonts w:hint="eastAsia"/>
                          <w:szCs w:val="28"/>
                        </w:rPr>
                        <w:t>发布</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188B7516" wp14:editId="39178663">
                <wp:simplePos x="0" y="0"/>
                <wp:positionH relativeFrom="column">
                  <wp:posOffset>0</wp:posOffset>
                </wp:positionH>
                <wp:positionV relativeFrom="paragraph">
                  <wp:posOffset>8617585</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5" o:spid="_x0000_s1026" o:spt="20" style="position:absolute;left:0pt;margin-left:0pt;margin-top:678.55pt;height:0pt;width:482pt;z-index:251668480;mso-width-relative:page;mso-height-relative:page;" filled="f" stroked="t" coordsize="21600,21600" o:gfxdata="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BYAAABkcnMvUEsBAhQAFAAAAAgAh07iQJSKo6TXAAAACgEAAA8A&#10;AAAAAAAAAQAgAAAAOAAAAGRycy9kb3ducmV2LnhtbFBLAQIUABQAAAAIAIdO4kBRNa1RyQEAAKID&#10;AAAOAAAAAAAAAAEAIAAAADwBAABkcnMvZTJvRG9jLnhtbFBLBQYAAAAABgAGAFkBAAB3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568B630C" wp14:editId="3C63B075">
                <wp:simplePos x="0" y="0"/>
                <wp:positionH relativeFrom="column">
                  <wp:posOffset>0</wp:posOffset>
                </wp:positionH>
                <wp:positionV relativeFrom="paragraph">
                  <wp:posOffset>2272665</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4" o:spid="_x0000_s1026" o:spt="20" style="position:absolute;left:0pt;margin-left:0pt;margin-top:178.95pt;height:0pt;width:482pt;z-index:251667456;mso-width-relative:page;mso-height-relative:page;" filled="f" stroked="t" coordsize="21600,21600" o:gfxdata="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ATvstu1wAAAAgBAAAP&#10;AAAAAAAAAAEAIAAAADgAAABkcnMvZG93bnJldi54bWxQSwECFAAUAAAACACHTuJAuNkw3coBAACi&#10;AwAADgAAAAAAAAABACAAAAA8AQAAZHJzL2Uyb0RvYy54bWxQSwUGAAAAAAYABgBZAQAAeA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3360" behindDoc="0" locked="1" layoutInCell="1" allowOverlap="1" wp14:anchorId="57753DF6" wp14:editId="47D6EED1">
                <wp:simplePos x="0" y="0"/>
                <wp:positionH relativeFrom="margin">
                  <wp:posOffset>0</wp:posOffset>
                </wp:positionH>
                <wp:positionV relativeFrom="margin">
                  <wp:posOffset>8717280</wp:posOffset>
                </wp:positionV>
                <wp:extent cx="6120130" cy="754380"/>
                <wp:effectExtent l="0" t="0" r="1270" b="7620"/>
                <wp:wrapNone/>
                <wp:docPr id="62723705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03687C30" w14:textId="77777777" w:rsidR="0084387C" w:rsidRDefault="00000000">
                            <w:pPr>
                              <w:pStyle w:val="afb"/>
                              <w:rPr>
                                <w:spacing w:val="0"/>
                                <w:sz w:val="30"/>
                              </w:rPr>
                            </w:pPr>
                            <w:r>
                              <w:rPr>
                                <w:rFonts w:hint="eastAsia"/>
                                <w:spacing w:val="0"/>
                                <w:sz w:val="30"/>
                              </w:rPr>
                              <w:t>国家市场监督管理总局</w:t>
                            </w:r>
                          </w:p>
                          <w:p w14:paraId="5A70FAA7" w14:textId="77777777" w:rsidR="0084387C" w:rsidRDefault="00000000">
                            <w:pPr>
                              <w:pStyle w:val="afb"/>
                              <w:rPr>
                                <w:spacing w:val="0"/>
                                <w:sz w:val="30"/>
                              </w:rPr>
                            </w:pPr>
                            <w:r>
                              <w:rPr>
                                <w:rFonts w:hint="eastAsia"/>
                                <w:spacing w:val="0"/>
                                <w:sz w:val="30"/>
                              </w:rPr>
                              <w:t>国家标准化管理委员会</w:t>
                            </w:r>
                          </w:p>
                          <w:p w14:paraId="3B4CC1DE" w14:textId="77777777" w:rsidR="0084387C" w:rsidRDefault="0084387C"/>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7" o:spid="_x0000_s1026" o:spt="202" type="#_x0000_t202" style="position:absolute;left:0pt;margin-left:0pt;margin-top:686.4pt;height:59.4pt;width:481.9pt;mso-position-horizontal-relative:margin;mso-position-vertical-relative:margin;z-index:251663360;mso-width-relative:page;mso-height-relative:page;" fillcolor="#FFFFFF" filled="t" stroked="f" coordsize="21600,21600" o:gfxdata="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CY1ORe2AAAAAoBAAAPAAAAAAAAAAEAIAAAADgAAABkcnMvZG93bnJldi54bWxQSwEC&#10;FAAUAAAACACHTuJADzcoshcCAAAzBAAADgAAAAAAAAABACAAAAA9AQAAZHJzL2Uyb0RvYy54bWxQ&#10;SwUGAAAAAAYABgBZAQAAxgUAAAAA&#10;">
                <v:fill on="t" focussize="0,0"/>
                <v:stroke on="f"/>
                <v:imagedata o:title=""/>
                <o:lock v:ext="edit" aspectratio="f"/>
                <v:textbox inset="0mm,0mm,0mm,0mm">
                  <w:txbxContent>
                    <w:p>
                      <w:pPr>
                        <w:pStyle w:val="23"/>
                        <w:rPr>
                          <w:spacing w:val="0"/>
                          <w:sz w:val="30"/>
                        </w:rPr>
                      </w:pPr>
                      <w:r>
                        <w:rPr>
                          <w:rFonts w:hint="eastAsia"/>
                          <w:spacing w:val="0"/>
                          <w:sz w:val="30"/>
                        </w:rPr>
                        <w:t>国家市场监督管理总局</w:t>
                      </w:r>
                    </w:p>
                    <w:p>
                      <w:pPr>
                        <w:pStyle w:val="23"/>
                        <w:rPr>
                          <w:spacing w:val="0"/>
                          <w:sz w:val="30"/>
                        </w:rPr>
                      </w:pPr>
                      <w:r>
                        <w:rPr>
                          <w:rFonts w:hint="eastAsia"/>
                          <w:spacing w:val="0"/>
                          <w:sz w:val="30"/>
                        </w:rPr>
                        <w:t>国家标准化管理委员会</w:t>
                      </w:r>
                    </w:p>
                    <w:p/>
                  </w:txbxContent>
                </v:textbox>
                <w10:anchorlock/>
              </v:shape>
            </w:pict>
          </mc:Fallback>
        </mc:AlternateContent>
      </w:r>
      <w:r>
        <w:rPr>
          <w:noProof/>
        </w:rPr>
        <mc:AlternateContent>
          <mc:Choice Requires="wps">
            <w:drawing>
              <wp:anchor distT="0" distB="0" distL="114300" distR="114300" simplePos="0" relativeHeight="251666432" behindDoc="0" locked="1" layoutInCell="1" allowOverlap="1" wp14:anchorId="1B94A9B6" wp14:editId="313F602B">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0C377A89" w14:textId="77777777" w:rsidR="0084387C" w:rsidRDefault="00000000">
                            <w:pPr>
                              <w:pStyle w:val="aff1"/>
                            </w:pPr>
                            <w:r>
                              <w:rPr>
                                <w:rFonts w:hint="eastAsia"/>
                              </w:rPr>
                              <w:t>202</w:t>
                            </w: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6" o:spid="_x0000_s1026" o:spt="202" type="#_x0000_t202" style="position:absolute;left:0pt;margin-left:322.9pt;margin-top:655.2pt;height:23.4pt;width:159pt;mso-position-horizontal-relative:margin;mso-position-vertical-relative:margin;z-index:251666432;mso-width-relative:page;mso-height-relative:page;" fillcolor="#FFFFFF" filled="t" stroked="f" coordsize="21600,21600" o:gfxdata="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G2QyjvaAAAADQEAAA8AAAAAAAAAAQAgAAAAOAAAAGRycy9kb3ducmV2LnhtbFBLAQIUABQAAAAI&#10;AIdO4kANTCY6DgIAACsEAAAOAAAAAAAAAAEAIAAAAD8BAABkcnMvZTJvRG9jLnhtbFBLBQYAAAAA&#10;BgAGAFkBAAC/BQAAAAA=&#10;">
                <v:fill on="t" focussize="0,0"/>
                <v:stroke on="f"/>
                <v:imagedata o:title=""/>
                <o:lock v:ext="edit" aspectratio="f"/>
                <v:textbox inset="0mm,0mm,0mm,0mm">
                  <w:txbxContent>
                    <w:p>
                      <w:pPr>
                        <w:pStyle w:val="31"/>
                      </w:pPr>
                      <w:r>
                        <w:rPr>
                          <w:rFonts w:hint="eastAsia"/>
                        </w:rPr>
                        <w:t>202×-××-××实施</w:t>
                      </w:r>
                    </w:p>
                  </w:txbxContent>
                </v:textbox>
                <w10:anchorlock/>
              </v:shape>
            </w:pict>
          </mc:Fallback>
        </mc:AlternateContent>
      </w:r>
      <w:r>
        <w:rPr>
          <w:noProof/>
        </w:rPr>
        <mc:AlternateContent>
          <mc:Choice Requires="wps">
            <w:drawing>
              <wp:anchor distT="0" distB="0" distL="114300" distR="114300" simplePos="0" relativeHeight="251665408" behindDoc="0" locked="1" layoutInCell="1" allowOverlap="1" wp14:anchorId="67591C2C" wp14:editId="609AB9EB">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75D0CF79" w14:textId="77777777" w:rsidR="0084387C" w:rsidRDefault="00000000">
                            <w:pPr>
                              <w:pStyle w:val="afc"/>
                            </w:pPr>
                            <w:r>
                              <w:rPr>
                                <w:rFonts w:hint="eastAsia"/>
                              </w:rPr>
                              <w:t>202</w:t>
                            </w: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5" o:spid="_x0000_s1026" o:spt="202" type="#_x0000_t202" style="position:absolute;left:0pt;margin-left:0pt;margin-top:655.2pt;height:23.4pt;width:159pt;mso-position-horizontal-relative:margin;mso-position-vertical-relative:margin;z-index:251665408;mso-width-relative:page;mso-height-relative:page;" fillcolor="#FFFFFF" filled="t" stroked="f" coordsize="21600,21600" o:gfxdata="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Bw&#10;W6pk2AAAAAoBAAAPAAAAAAAAAAEAIAAAADgAAABkcnMvZG93bnJldi54bWxQSwECFAAUAAAACACH&#10;TuJA865h/Q4CAAArBAAADgAAAAAAAAABACAAAAA9AQAAZHJzL2Uyb0RvYy54bWxQSwUGAAAAAAYA&#10;BgBZAQAAvQUAAAAA&#10;">
                <v:fill on="t" focussize="0,0"/>
                <v:stroke on="f"/>
                <v:imagedata o:title=""/>
                <o:lock v:ext="edit" aspectratio="f"/>
                <v:textbox inset="0mm,0mm,0mm,0mm">
                  <w:txbxContent>
                    <w:p>
                      <w:pPr>
                        <w:pStyle w:val="24"/>
                      </w:pPr>
                      <w:r>
                        <w:rPr>
                          <w:rFonts w:hint="eastAsia"/>
                        </w:rPr>
                        <w:t>202×-××-××发布</w:t>
                      </w:r>
                    </w:p>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14:anchorId="2ADB68D4" wp14:editId="3E515B8A">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2C81F6AE" w14:textId="77777777" w:rsidR="0084387C" w:rsidRDefault="00000000">
                            <w:pPr>
                              <w:pStyle w:val="afd"/>
                            </w:pPr>
                            <w:r>
                              <w:rPr>
                                <w:rFonts w:ascii="宋体" w:hAnsi="宋体" w:hint="eastAsia"/>
                                <w:szCs w:val="21"/>
                              </w:rPr>
                              <w:t>表面活性剂和洗涤剂</w:t>
                            </w:r>
                            <w:r>
                              <w:rPr>
                                <w:rFonts w:ascii="宋体" w:hAnsi="宋体" w:hint="eastAsia"/>
                                <w:szCs w:val="21"/>
                              </w:rPr>
                              <w:t xml:space="preserve">  </w:t>
                            </w:r>
                            <w:r>
                              <w:rPr>
                                <w:rFonts w:ascii="宋体" w:hAnsi="宋体" w:hint="eastAsia"/>
                                <w:szCs w:val="21"/>
                              </w:rPr>
                              <w:t>在碱性条件下可水解的阴离子活性物</w:t>
                            </w:r>
                            <w:r>
                              <w:rPr>
                                <w:rFonts w:ascii="宋体" w:hAnsi="宋体" w:hint="eastAsia"/>
                                <w:szCs w:val="21"/>
                              </w:rPr>
                              <w:t xml:space="preserve">  </w:t>
                            </w:r>
                            <w:r>
                              <w:rPr>
                                <w:rFonts w:ascii="宋体" w:hAnsi="宋体" w:hint="eastAsia"/>
                                <w:szCs w:val="21"/>
                              </w:rPr>
                              <w:t>可水解和不可水解阴离子活性物的测定</w:t>
                            </w:r>
                          </w:p>
                          <w:p w14:paraId="10E1492E" w14:textId="77777777" w:rsidR="0084387C" w:rsidRDefault="00000000">
                            <w:pPr>
                              <w:pStyle w:val="afe"/>
                              <w:rPr>
                                <w:rFonts w:ascii="Times New Roman" w:eastAsia="黑体"/>
                                <w:sz w:val="28"/>
                                <w:szCs w:val="28"/>
                              </w:rPr>
                            </w:pPr>
                            <w:r>
                              <w:rPr>
                                <w:rFonts w:ascii="Times New Roman" w:eastAsia="黑体"/>
                                <w:sz w:val="28"/>
                                <w:szCs w:val="28"/>
                              </w:rPr>
                              <w:t>Surface active agents—Detergents—Anionic-active matter hydrolyzable under alkaline conditions—Determination of hydrolyzable and non-hydrolyzable anionic-active matter</w:t>
                            </w:r>
                          </w:p>
                          <w:p w14:paraId="2DC126A1" w14:textId="77777777" w:rsidR="0084387C" w:rsidRDefault="00000000">
                            <w:pPr>
                              <w:pStyle w:val="afe"/>
                              <w:rPr>
                                <w:rFonts w:ascii="Times New Roman Regular" w:eastAsia="黑体" w:hAnsi="Times New Roman Regular" w:cs="Times New Roman Regular"/>
                                <w:sz w:val="28"/>
                                <w:szCs w:val="28"/>
                              </w:rPr>
                            </w:pPr>
                            <w:r>
                              <w:rPr>
                                <w:rFonts w:hAnsi="宋体" w:cs="宋体" w:hint="eastAsia"/>
                                <w:sz w:val="28"/>
                                <w:szCs w:val="28"/>
                              </w:rPr>
                              <w:t>（</w:t>
                            </w:r>
                            <w:r>
                              <w:rPr>
                                <w:rFonts w:ascii="Times New Roman Regular" w:eastAsia="黑体" w:hAnsi="Times New Roman Regular" w:cs="Times New Roman Regular"/>
                                <w:sz w:val="28"/>
                                <w:szCs w:val="28"/>
                              </w:rPr>
                              <w:t>ISO 2869:1973</w:t>
                            </w:r>
                            <w:r>
                              <w:rPr>
                                <w:rFonts w:ascii="Times New Roman Regular" w:eastAsia="黑体" w:hAnsi="Times New Roman Regular" w:cs="Times New Roman Regular"/>
                                <w:sz w:val="28"/>
                                <w:szCs w:val="28"/>
                              </w:rPr>
                              <w:t>，</w:t>
                            </w:r>
                            <w:r>
                              <w:rPr>
                                <w:rFonts w:ascii="Times New Roman Regular" w:eastAsia="黑体" w:hAnsi="Times New Roman Regular" w:cs="Times New Roman Regular"/>
                                <w:sz w:val="28"/>
                                <w:szCs w:val="28"/>
                              </w:rPr>
                              <w:t>MOD</w:t>
                            </w:r>
                            <w:r>
                              <w:rPr>
                                <w:rFonts w:hAnsi="宋体" w:cs="宋体" w:hint="eastAsia"/>
                                <w:sz w:val="28"/>
                                <w:szCs w:val="28"/>
                              </w:rPr>
                              <w:t>）</w:t>
                            </w:r>
                          </w:p>
                          <w:p w14:paraId="65F3BBD0" w14:textId="77777777" w:rsidR="0084387C" w:rsidRDefault="00000000">
                            <w:pPr>
                              <w:pStyle w:val="afe"/>
                              <w:rPr>
                                <w:bCs/>
                                <w:szCs w:val="24"/>
                              </w:rPr>
                            </w:pPr>
                            <w:r>
                              <w:rPr>
                                <w:rFonts w:hint="eastAsia"/>
                                <w:bCs/>
                                <w:szCs w:val="24"/>
                              </w:rPr>
                              <w:t>（征求意见稿）</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4" o:spid="_x0000_s1026" o:spt="202" type="#_x0000_t202" style="position:absolute;left:0pt;margin-left:0pt;margin-top:286.25pt;height:310.1pt;width:470pt;mso-position-horizontal-relative:margin;mso-position-vertical-relative:margin;z-index:251664384;mso-width-relative:page;mso-height-relative:page;" fillcolor="#FFFFFF" filled="t" stroked="f" coordsize="21600,21600" o:gfxdata="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Ej5XX2AAAAAkBAAAPAAAAAAAAAAEAIAAAADgAAABkcnMvZG93bnJldi54bWxQSwECFAAUAAAA&#10;CACHTuJAKO3BYBECAAAsBAAADgAAAAAAAAABACAAAAA9AQAAZHJzL2Uyb0RvYy54bWxQSwUGAAAA&#10;AAYABgBZAQAAwAUAAAAA&#10;">
                <v:fill on="t" focussize="0,0"/>
                <v:stroke on="f"/>
                <v:imagedata o:title=""/>
                <o:lock v:ext="edit" aspectratio="f"/>
                <v:textbox inset="0mm,0mm,0mm,0mm">
                  <w:txbxContent>
                    <w:p>
                      <w:pPr>
                        <w:pStyle w:val="26"/>
                      </w:pPr>
                      <w:r>
                        <w:rPr>
                          <w:rFonts w:hint="eastAsia" w:ascii="宋体" w:hAnsi="宋体"/>
                          <w:szCs w:val="21"/>
                        </w:rPr>
                        <w:t>表面活性剂和洗涤剂  在碱性条件下可水解的阴离子活性物  可水解和不可水解阴离子活性物的测定</w:t>
                      </w:r>
                    </w:p>
                    <w:p>
                      <w:pPr>
                        <w:pStyle w:val="27"/>
                        <w:rPr>
                          <w:rFonts w:ascii="Times New Roman" w:eastAsia="黑体"/>
                          <w:sz w:val="28"/>
                          <w:szCs w:val="28"/>
                        </w:rPr>
                      </w:pPr>
                      <w:r>
                        <w:rPr>
                          <w:rFonts w:ascii="Times New Roman" w:eastAsia="黑体"/>
                          <w:sz w:val="28"/>
                          <w:szCs w:val="28"/>
                        </w:rPr>
                        <w:t>Surface active agents—Detergents—Anionic-active matter hydrolyzable under alkaline conditions—Determination of hydrolyzable and non-hydrolyzable anionic-active matter</w:t>
                      </w:r>
                    </w:p>
                    <w:p>
                      <w:pPr>
                        <w:pStyle w:val="27"/>
                        <w:rPr>
                          <w:rFonts w:ascii="Times New Roman Regular" w:hAnsi="Times New Roman Regular" w:eastAsia="黑体" w:cs="Times New Roman Regular"/>
                          <w:sz w:val="28"/>
                          <w:szCs w:val="28"/>
                        </w:rPr>
                      </w:pPr>
                      <w:r>
                        <w:rPr>
                          <w:rFonts w:hint="eastAsia" w:hAnsi="宋体" w:cs="宋体"/>
                          <w:sz w:val="28"/>
                          <w:szCs w:val="28"/>
                        </w:rPr>
                        <w:t>（</w:t>
                      </w:r>
                      <w:r>
                        <w:rPr>
                          <w:rFonts w:ascii="Times New Roman Regular" w:hAnsi="Times New Roman Regular" w:eastAsia="黑体" w:cs="Times New Roman Regular"/>
                          <w:sz w:val="28"/>
                          <w:szCs w:val="28"/>
                        </w:rPr>
                        <w:t>ISO 2869:1973，MOD</w:t>
                      </w:r>
                      <w:r>
                        <w:rPr>
                          <w:rFonts w:hint="eastAsia" w:hAnsi="宋体" w:cs="宋体"/>
                          <w:sz w:val="28"/>
                          <w:szCs w:val="28"/>
                        </w:rPr>
                        <w:t>）</w:t>
                      </w:r>
                    </w:p>
                    <w:p>
                      <w:pPr>
                        <w:pStyle w:val="27"/>
                        <w:rPr>
                          <w:bCs/>
                          <w:szCs w:val="24"/>
                        </w:rPr>
                      </w:pPr>
                      <w:r>
                        <w:rPr>
                          <w:rFonts w:hint="eastAsia"/>
                          <w:bCs/>
                          <w:szCs w:val="24"/>
                        </w:rPr>
                        <w:t>（征求意见稿）</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14:anchorId="5231A4C2" wp14:editId="558A8855">
                <wp:simplePos x="0" y="0"/>
                <wp:positionH relativeFrom="margin">
                  <wp:posOffset>0</wp:posOffset>
                </wp:positionH>
                <wp:positionV relativeFrom="margin">
                  <wp:posOffset>1401445</wp:posOffset>
                </wp:positionV>
                <wp:extent cx="6067425" cy="777875"/>
                <wp:effectExtent l="0" t="0" r="3175" b="9525"/>
                <wp:wrapNone/>
                <wp:docPr id="30053910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777875"/>
                        </a:xfrm>
                        <a:prstGeom prst="rect">
                          <a:avLst/>
                        </a:prstGeom>
                        <a:solidFill>
                          <a:srgbClr val="FFFFFF"/>
                        </a:solidFill>
                        <a:ln>
                          <a:noFill/>
                        </a:ln>
                      </wps:spPr>
                      <wps:txbx>
                        <w:txbxContent>
                          <w:p w14:paraId="07DFC717" w14:textId="77777777" w:rsidR="0084387C" w:rsidRDefault="00000000">
                            <w:pPr>
                              <w:pStyle w:val="21"/>
                            </w:pPr>
                            <w:r>
                              <w:t>GB/T</w:t>
                            </w:r>
                            <w:r>
                              <w:rPr>
                                <w:rFonts w:hint="eastAsia"/>
                              </w:rPr>
                              <w:t xml:space="preserve"> 20198</w:t>
                            </w:r>
                            <w:r>
                              <w:t>—</w:t>
                            </w:r>
                            <w:r>
                              <w:rPr>
                                <w:rFonts w:hint="eastAsia"/>
                              </w:rPr>
                              <w:t>****</w:t>
                            </w:r>
                          </w:p>
                          <w:p w14:paraId="2EE57361" w14:textId="77777777" w:rsidR="0084387C" w:rsidRDefault="00000000">
                            <w:pPr>
                              <w:pStyle w:val="aff3"/>
                            </w:pPr>
                            <w:r>
                              <w:rPr>
                                <w:rFonts w:hint="eastAsia"/>
                              </w:rPr>
                              <w:t>代替</w:t>
                            </w:r>
                            <w:r>
                              <w:t xml:space="preserve">GB/T </w:t>
                            </w:r>
                            <w:r>
                              <w:rPr>
                                <w:rFonts w:hint="eastAsia"/>
                              </w:rPr>
                              <w:t>20198</w:t>
                            </w:r>
                            <w:r>
                              <w:t>—</w:t>
                            </w:r>
                            <w:r>
                              <w:t>200</w:t>
                            </w:r>
                            <w:r>
                              <w:rPr>
                                <w:rFonts w:hint="eastAsia"/>
                              </w:rPr>
                              <w:t>6</w:t>
                            </w:r>
                          </w:p>
                          <w:p w14:paraId="338828A8" w14:textId="77777777" w:rsidR="0084387C" w:rsidRDefault="0084387C">
                            <w:pPr>
                              <w:pStyle w:val="aff3"/>
                            </w:pPr>
                          </w:p>
                          <w:p w14:paraId="098C7566" w14:textId="77777777" w:rsidR="0084387C" w:rsidRDefault="0084387C">
                            <w:pPr>
                              <w:pStyle w:val="1"/>
                            </w:pPr>
                          </w:p>
                          <w:p w14:paraId="6C807EA7" w14:textId="77777777" w:rsidR="0084387C" w:rsidRDefault="0084387C">
                            <w:pPr>
                              <w:pStyle w:val="1"/>
                            </w:pP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3" o:spid="_x0000_s1026" o:spt="202" type="#_x0000_t202" style="position:absolute;left:0pt;margin-left:0pt;margin-top:110.35pt;height:61.25pt;width:477.75pt;mso-position-horizontal-relative:margin;mso-position-vertical-relative:margin;z-index:251659264;mso-width-relative:page;mso-height-relative:page;" fillcolor="#FFFFFF" filled="t" stroked="f" coordsize="21600,21600" o:gfxdata="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vO/bJdgAAAAIAQAADwAAAAAAAAABACAAAAA4AAAAZHJzL2Rvd25yZXYueG1sUEsB&#10;AhQAFAAAAAgAh07iQOOhPT0YAgAAMwQAAA4AAAAAAAAAAQAgAAAAPQEAAGRycy9lMm9Eb2MueG1s&#10;UEsFBgAAAAAGAAYAWQEAAMcFAAAAAA==&#10;">
                <v:fill on="t" focussize="0,0"/>
                <v:stroke on="f"/>
                <v:imagedata o:title=""/>
                <o:lock v:ext="edit" aspectratio="f"/>
                <v:textbox inset="0mm,0mm,0mm,0mm">
                  <w:txbxContent>
                    <w:p>
                      <w:pPr>
                        <w:pStyle w:val="42"/>
                      </w:pPr>
                      <w:r>
                        <w:t>GB/T</w:t>
                      </w:r>
                      <w:r>
                        <w:rPr>
                          <w:rFonts w:hint="eastAsia"/>
                        </w:rPr>
                        <w:t xml:space="preserve"> 20198</w:t>
                      </w:r>
                      <w:r>
                        <w:t>—</w:t>
                      </w:r>
                      <w:r>
                        <w:rPr>
                          <w:rFonts w:hint="eastAsia"/>
                        </w:rPr>
                        <w:t>****</w:t>
                      </w:r>
                    </w:p>
                    <w:p>
                      <w:pPr>
                        <w:pStyle w:val="43"/>
                      </w:pPr>
                      <w:r>
                        <w:rPr>
                          <w:rFonts w:hint="eastAsia"/>
                        </w:rPr>
                        <w:t>代替</w:t>
                      </w:r>
                      <w:r>
                        <w:t xml:space="preserve">GB/T </w:t>
                      </w:r>
                      <w:r>
                        <w:rPr>
                          <w:rFonts w:hint="eastAsia"/>
                        </w:rPr>
                        <w:t>20198</w:t>
                      </w:r>
                      <w:r>
                        <w:t>—200</w:t>
                      </w:r>
                      <w:r>
                        <w:rPr>
                          <w:rFonts w:hint="eastAsia"/>
                        </w:rPr>
                        <w:t>6</w:t>
                      </w:r>
                    </w:p>
                    <w:p>
                      <w:pPr>
                        <w:pStyle w:val="43"/>
                      </w:pPr>
                    </w:p>
                    <w:p>
                      <w:pPr>
                        <w:pStyle w:val="25"/>
                      </w:pPr>
                    </w:p>
                    <w:p>
                      <w:pPr>
                        <w:pStyle w:val="25"/>
                      </w:pPr>
                    </w:p>
                  </w:txbxContent>
                </v:textbox>
                <w10:anchorlock/>
              </v:shape>
            </w:pict>
          </mc:Fallback>
        </mc:AlternateContent>
      </w:r>
      <w:r>
        <w:rPr>
          <w:noProof/>
        </w:rPr>
        <w:drawing>
          <wp:anchor distT="0" distB="0" distL="114300" distR="114300" simplePos="0" relativeHeight="251662336" behindDoc="0" locked="1" layoutInCell="1" allowOverlap="1" wp14:anchorId="3E9D0743" wp14:editId="292C5BC6">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 xmlns:a="http://schemas.openxmlformats.org/drawingml/2006/main">
              <a:graphicData uri="http://schemas.openxmlformats.org/drawingml/2006/picture">
                <pic:pic xmlns:pic="http://schemas.openxmlformats.org/drawingml/2006/picture">
                  <pic:nvPicPr>
                    <pic:cNvPr id="28"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1312" behindDoc="0" locked="1" layoutInCell="1" allowOverlap="1" wp14:anchorId="25C98AE1" wp14:editId="3FE1AC4F">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29FCB917" w14:textId="77777777" w:rsidR="0084387C" w:rsidRDefault="00000000">
                            <w:pPr>
                              <w:pStyle w:val="af3"/>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2" o:spid="_x0000_s1026" o:spt="202" type="#_x0000_t202" style="position:absolute;left:0pt;margin-left:0pt;margin-top:79.6pt;height:30.8pt;width:481.9pt;mso-position-horizontal-relative:margin;mso-position-vertical-relative:margin;z-index:251661312;mso-width-relative:page;mso-height-relative:page;" fillcolor="#FFFFFF" filled="t" stroked="f" coordsize="21600,21600" o:gfxdata="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EYO&#10;RwXXAAAACAEAAA8AAAAAAAAAAQAgAAAAOAAAAGRycy9kb3ducmV2LnhtbFBLAQIUABQAAAAIAIdO&#10;4kCR00DSDgIAACsEAAAOAAAAAAAAAAEAIAAAADwBAABkcnMvZTJvRG9jLnhtbFBLBQYAAAAABgAG&#10;AFkBAAC8BQAAAAA=&#10;">
                <v:fill on="t" focussize="0,0"/>
                <v:stroke on="f"/>
                <v:imagedata o:title=""/>
                <o:lock v:ext="edit" aspectratio="f"/>
                <v:textbox inset="0mm,0mm,0mm,0mm">
                  <w:txbxContent>
                    <w:p>
                      <w:pPr>
                        <w:pStyle w:val="11"/>
                      </w:pPr>
                      <w:r>
                        <w:rPr>
                          <w:rFonts w:hint="eastAsia"/>
                        </w:rPr>
                        <w:t>中华人民共和国国家标准</w:t>
                      </w:r>
                    </w:p>
                  </w:txbxContent>
                </v:textbox>
                <w10:anchorlock/>
              </v:shape>
            </w:pict>
          </mc:Fallback>
        </mc:AlternateContent>
      </w:r>
      <w:r>
        <w:rPr>
          <w:noProof/>
        </w:rPr>
        <mc:AlternateContent>
          <mc:Choice Requires="wps">
            <w:drawing>
              <wp:anchor distT="0" distB="0" distL="114300" distR="114300" simplePos="0" relativeHeight="251660288" behindDoc="0" locked="1" layoutInCell="1" allowOverlap="1" wp14:anchorId="4F9C32FB" wp14:editId="365CB0AF">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6E6F8B27" w14:textId="77777777" w:rsidR="0084387C" w:rsidRDefault="00000000">
                            <w:pPr>
                              <w:pStyle w:val="aff2"/>
                            </w:pPr>
                            <w:r>
                              <w:t>ICS 71.</w:t>
                            </w:r>
                            <w:r>
                              <w:rPr>
                                <w:rFonts w:hint="eastAsia"/>
                              </w:rPr>
                              <w:t>100.40</w:t>
                            </w:r>
                          </w:p>
                          <w:p w14:paraId="483A47B6" w14:textId="77777777" w:rsidR="0084387C" w:rsidRDefault="00000000">
                            <w:pPr>
                              <w:pStyle w:val="aff2"/>
                            </w:pPr>
                            <w:r>
                              <w:t>CCS G72</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fmFrame1" o:spid="_x0000_s1026" o:spt="202" type="#_x0000_t202" style="position:absolute;left:0pt;margin-left:0pt;margin-top:0pt;height:51.8pt;width:200pt;mso-position-horizontal-relative:margin;mso-position-vertical-relative:margin;z-index:251660288;mso-width-relative:page;mso-height-relative:page;" fillcolor="#FFFFFF" filled="t" stroked="f" coordsize="21600,21600" o:gfxdata="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MXsy+DT&#10;AAAABQEAAA8AAAAAAAAAAQAgAAAAOAAAAGRycy9kb3ducmV2LnhtbFBLAQIUABQAAAAIAIdO4kAl&#10;WFAGDwIAACsEAAAOAAAAAAAAAAEAIAAAADgBAABkcnMvZTJvRG9jLnhtbFBLBQYAAAAABgAGAFkB&#10;AAC5BQAAAAA=&#10;">
                <v:fill on="t" focussize="0,0"/>
                <v:stroke on="f"/>
                <v:imagedata o:title=""/>
                <o:lock v:ext="edit" aspectratio="f"/>
                <v:textbox inset="0mm,0mm,0mm,0mm">
                  <w:txbxContent>
                    <w:p>
                      <w:pPr>
                        <w:pStyle w:val="33"/>
                      </w:pPr>
                      <w:r>
                        <w:t>ICS 71.</w:t>
                      </w:r>
                      <w:r>
                        <w:rPr>
                          <w:rFonts w:hint="eastAsia"/>
                        </w:rPr>
                        <w:t>100.40</w:t>
                      </w:r>
                    </w:p>
                    <w:p>
                      <w:pPr>
                        <w:pStyle w:val="33"/>
                      </w:pPr>
                      <w:r>
                        <w:t>CCS G72</w:t>
                      </w:r>
                    </w:p>
                  </w:txbxContent>
                </v:textbox>
                <w10:anchorlock/>
              </v:shape>
            </w:pict>
          </mc:Fallback>
        </mc:AlternateContent>
      </w:r>
    </w:p>
    <w:bookmarkEnd w:id="0"/>
    <w:p w14:paraId="0A566772" w14:textId="77777777" w:rsidR="0084387C" w:rsidRDefault="00000000">
      <w:pPr>
        <w:pStyle w:val="a0"/>
      </w:pPr>
      <w:r>
        <w:lastRenderedPageBreak/>
        <w:t>前</w:t>
      </w:r>
      <w:r>
        <w:rPr>
          <w:rFonts w:hint="eastAsia"/>
        </w:rPr>
        <w:t xml:space="preserve"> </w:t>
      </w:r>
      <w:r>
        <w:t xml:space="preserve"> 言</w:t>
      </w:r>
    </w:p>
    <w:p w14:paraId="2FCB3B02" w14:textId="77777777" w:rsidR="0084387C" w:rsidRDefault="00000000">
      <w:pPr>
        <w:pStyle w:val="af9"/>
        <w:ind w:firstLine="420"/>
        <w:rPr>
          <w:rFonts w:hAnsi="宋体" w:hint="eastAsia"/>
        </w:rPr>
      </w:pPr>
      <w:r>
        <w:rPr>
          <w:rFonts w:hAnsi="宋体" w:hint="eastAsia"/>
        </w:rPr>
        <w:t>本文件按照G</w:t>
      </w:r>
      <w:r>
        <w:rPr>
          <w:rFonts w:hAnsi="宋体"/>
        </w:rPr>
        <w:t>B/T 1.1</w:t>
      </w:r>
      <w:r>
        <w:rPr>
          <w:rFonts w:hAnsi="宋体" w:hint="eastAsia"/>
        </w:rPr>
        <w:t>—2020《标准化工作导则  第1部分：标准化文件的结构和起草规则》的规定起草。</w:t>
      </w:r>
    </w:p>
    <w:p w14:paraId="22A39737" w14:textId="77777777" w:rsidR="0084387C" w:rsidRDefault="00000000">
      <w:pPr>
        <w:pStyle w:val="af9"/>
        <w:ind w:firstLine="420"/>
        <w:rPr>
          <w:rFonts w:hAnsi="宋体" w:hint="eastAsia"/>
        </w:rPr>
      </w:pPr>
      <w:r>
        <w:rPr>
          <w:rFonts w:hAnsi="宋体"/>
          <w:bCs/>
        </w:rPr>
        <w:t>本</w:t>
      </w:r>
      <w:r>
        <w:rPr>
          <w:rFonts w:hAnsi="宋体" w:hint="eastAsia"/>
          <w:bCs/>
        </w:rPr>
        <w:t>文件代替</w:t>
      </w:r>
      <w:r>
        <w:rPr>
          <w:rFonts w:hAnsi="宋体"/>
        </w:rPr>
        <w:t>GB/T 20198—2006《</w:t>
      </w:r>
      <w:r>
        <w:rPr>
          <w:rFonts w:hAnsi="宋体" w:hint="eastAsia"/>
        </w:rPr>
        <w:t>表面活性剂和洗涤剂  在碱性条件下可水解的阴离子活性物  可水解和不可水解阴离子活性物的测定</w:t>
      </w:r>
      <w:r>
        <w:rPr>
          <w:rFonts w:hAnsi="宋体"/>
        </w:rPr>
        <w:t>》</w:t>
      </w:r>
      <w:r>
        <w:rPr>
          <w:rFonts w:hAnsi="宋体" w:hint="eastAsia"/>
        </w:rPr>
        <w:t>，与</w:t>
      </w:r>
      <w:r>
        <w:rPr>
          <w:rFonts w:hAnsi="宋体"/>
        </w:rPr>
        <w:t>GB/T 20198—2006</w:t>
      </w:r>
      <w:r>
        <w:rPr>
          <w:rFonts w:hAnsi="宋体" w:hint="eastAsia"/>
        </w:rPr>
        <w:t>相比，除结构调整和编辑性改动外，主要技术变化如下：</w:t>
      </w:r>
    </w:p>
    <w:p w14:paraId="78ECEA80" w14:textId="77777777" w:rsidR="0084387C" w:rsidRDefault="00000000">
      <w:pPr>
        <w:pStyle w:val="af9"/>
        <w:ind w:left="420" w:firstLineChars="0" w:firstLine="0"/>
        <w:rPr>
          <w:rFonts w:hAnsi="宋体" w:hint="eastAsia"/>
        </w:rPr>
      </w:pPr>
      <w:r>
        <w:rPr>
          <w:rFonts w:hAnsi="宋体" w:hint="eastAsia"/>
          <w:szCs w:val="24"/>
        </w:rPr>
        <w:t>——</w:t>
      </w:r>
      <w:r>
        <w:rPr>
          <w:rFonts w:hAnsi="宋体" w:hint="eastAsia"/>
        </w:rPr>
        <w:t>修</w:t>
      </w:r>
      <w:r>
        <w:rPr>
          <w:rFonts w:hAnsi="宋体"/>
        </w:rPr>
        <w:t>改了</w:t>
      </w:r>
      <w:r>
        <w:rPr>
          <w:rFonts w:hAnsi="宋体" w:hint="eastAsia"/>
        </w:rPr>
        <w:t>规范性引用文件（见第2章，2006版第2章）；</w:t>
      </w:r>
    </w:p>
    <w:p w14:paraId="33ED2251" w14:textId="77777777" w:rsidR="0084387C" w:rsidRDefault="00000000">
      <w:pPr>
        <w:pStyle w:val="af9"/>
        <w:ind w:firstLine="420"/>
        <w:rPr>
          <w:rFonts w:hAnsi="宋体" w:hint="eastAsia"/>
        </w:rPr>
      </w:pPr>
      <w:r>
        <w:rPr>
          <w:rFonts w:hAnsi="宋体" w:hint="eastAsia"/>
          <w:szCs w:val="24"/>
        </w:rPr>
        <w:t>——按GB/T 1.1-2020的要求，</w:t>
      </w:r>
      <w:r>
        <w:rPr>
          <w:rFonts w:hAnsi="宋体" w:hint="eastAsia"/>
        </w:rPr>
        <w:t>增设了第3章术语和定义。</w:t>
      </w:r>
    </w:p>
    <w:p w14:paraId="2B4A53F8" w14:textId="77777777" w:rsidR="0084387C" w:rsidRDefault="00000000">
      <w:pPr>
        <w:pStyle w:val="af9"/>
        <w:ind w:firstLine="420"/>
        <w:rPr>
          <w:rFonts w:hAnsi="宋体" w:hint="eastAsia"/>
        </w:rPr>
      </w:pPr>
      <w:r>
        <w:rPr>
          <w:rFonts w:hAnsi="宋体" w:hint="eastAsia"/>
        </w:rPr>
        <w:t>本文件修改采用ISO 2869</w:t>
      </w:r>
      <w:r>
        <w:rPr>
          <w:rFonts w:hAnsi="宋体"/>
        </w:rPr>
        <w:t>:</w:t>
      </w:r>
      <w:r>
        <w:rPr>
          <w:rFonts w:hAnsi="宋体" w:hint="eastAsia"/>
        </w:rPr>
        <w:t xml:space="preserve">1973《表面活性剂和洗涤剂 </w:t>
      </w:r>
      <w:r>
        <w:rPr>
          <w:rFonts w:hAnsi="宋体"/>
        </w:rPr>
        <w:t xml:space="preserve"> </w:t>
      </w:r>
      <w:r>
        <w:rPr>
          <w:rFonts w:hAnsi="宋体" w:hint="eastAsia"/>
        </w:rPr>
        <w:t xml:space="preserve">在碱性条件下可水解的阴离子活性物 </w:t>
      </w:r>
      <w:r>
        <w:rPr>
          <w:rFonts w:hAnsi="宋体"/>
        </w:rPr>
        <w:t xml:space="preserve"> </w:t>
      </w:r>
      <w:r>
        <w:rPr>
          <w:rFonts w:hAnsi="宋体" w:hint="eastAsia"/>
        </w:rPr>
        <w:t>可水解和不可水解阴离子活性物的测定》。</w:t>
      </w:r>
    </w:p>
    <w:p w14:paraId="5D842310" w14:textId="77777777" w:rsidR="0084387C" w:rsidRDefault="00000000">
      <w:pPr>
        <w:pStyle w:val="af9"/>
        <w:ind w:firstLine="420"/>
        <w:rPr>
          <w:rFonts w:hAnsi="宋体" w:hint="eastAsia"/>
        </w:rPr>
      </w:pPr>
      <w:r>
        <w:rPr>
          <w:rFonts w:hAnsi="宋体" w:hint="eastAsia"/>
        </w:rPr>
        <w:t>本文件与ISO 2869</w:t>
      </w:r>
      <w:r>
        <w:rPr>
          <w:rFonts w:hAnsi="宋体"/>
        </w:rPr>
        <w:t>:</w:t>
      </w:r>
      <w:r>
        <w:rPr>
          <w:rFonts w:hAnsi="宋体" w:hint="eastAsia"/>
        </w:rPr>
        <w:t>1973相比，</w:t>
      </w:r>
      <w:r>
        <w:rPr>
          <w:rFonts w:hAnsi="宋体" w:hint="eastAsia"/>
          <w:szCs w:val="24"/>
        </w:rPr>
        <w:t>存在少量技术差异，在所涉及的条款的外侧页边空白位置用垂直单线（∣）进行了标示。这些技术差异及其原因一览表见附录A。</w:t>
      </w:r>
    </w:p>
    <w:p w14:paraId="31421214" w14:textId="77777777" w:rsidR="0084387C" w:rsidRDefault="00000000">
      <w:pPr>
        <w:pStyle w:val="af9"/>
        <w:ind w:firstLine="420"/>
        <w:rPr>
          <w:rFonts w:hAnsi="宋体" w:hint="eastAsia"/>
        </w:rPr>
      </w:pPr>
      <w:r>
        <w:rPr>
          <w:rFonts w:hAnsi="宋体"/>
        </w:rPr>
        <w:t>本</w:t>
      </w:r>
      <w:r>
        <w:rPr>
          <w:rFonts w:hAnsi="宋体" w:hint="eastAsia"/>
        </w:rPr>
        <w:t>文件</w:t>
      </w:r>
      <w:r>
        <w:rPr>
          <w:rFonts w:hAnsi="宋体"/>
        </w:rPr>
        <w:t>由中国轻工业联合会提出。</w:t>
      </w:r>
    </w:p>
    <w:p w14:paraId="4EBC4702" w14:textId="77777777" w:rsidR="0084387C" w:rsidRDefault="00000000">
      <w:pPr>
        <w:pStyle w:val="af9"/>
        <w:ind w:firstLine="420"/>
        <w:rPr>
          <w:rFonts w:hAnsi="宋体" w:hint="eastAsia"/>
        </w:rPr>
      </w:pPr>
      <w:r>
        <w:rPr>
          <w:rFonts w:hAnsi="宋体"/>
        </w:rPr>
        <w:t>本</w:t>
      </w:r>
      <w:r>
        <w:rPr>
          <w:rFonts w:hAnsi="宋体" w:hint="eastAsia"/>
        </w:rPr>
        <w:t>文件</w:t>
      </w:r>
      <w:r>
        <w:rPr>
          <w:rFonts w:hAnsi="宋体"/>
        </w:rPr>
        <w:t>由全国</w:t>
      </w:r>
      <w:r>
        <w:rPr>
          <w:rFonts w:hAnsi="宋体" w:hint="eastAsia"/>
        </w:rPr>
        <w:t>表面活性剂和洗涤用品标准化技术委员会</w:t>
      </w:r>
      <w:r>
        <w:rPr>
          <w:rFonts w:hAnsi="宋体"/>
        </w:rPr>
        <w:t>（</w:t>
      </w:r>
      <w:r>
        <w:rPr>
          <w:rFonts w:hAnsi="宋体" w:hint="eastAsia"/>
        </w:rPr>
        <w:t>S</w:t>
      </w:r>
      <w:r>
        <w:rPr>
          <w:rFonts w:hAnsi="宋体"/>
        </w:rPr>
        <w:t>AC/TC</w:t>
      </w:r>
      <w:r>
        <w:rPr>
          <w:rFonts w:hAnsi="宋体" w:hint="eastAsia"/>
        </w:rPr>
        <w:t>272</w:t>
      </w:r>
      <w:r>
        <w:rPr>
          <w:rFonts w:hAnsi="宋体"/>
        </w:rPr>
        <w:t>）归口。</w:t>
      </w:r>
    </w:p>
    <w:p w14:paraId="27FCE4FB" w14:textId="77777777" w:rsidR="0084387C" w:rsidRDefault="00000000">
      <w:pPr>
        <w:pStyle w:val="af9"/>
        <w:ind w:firstLine="420"/>
        <w:rPr>
          <w:rFonts w:hAnsi="宋体" w:hint="eastAsia"/>
        </w:rPr>
      </w:pPr>
      <w:r>
        <w:rPr>
          <w:rFonts w:hAnsi="宋体" w:hint="eastAsia"/>
        </w:rPr>
        <w:t xml:space="preserve">本文件起草单位： </w:t>
      </w:r>
    </w:p>
    <w:p w14:paraId="2BE92F13" w14:textId="77777777" w:rsidR="0084387C" w:rsidRDefault="00000000">
      <w:pPr>
        <w:pStyle w:val="af9"/>
        <w:ind w:firstLine="420"/>
        <w:rPr>
          <w:rFonts w:hAnsi="宋体" w:hint="eastAsia"/>
        </w:rPr>
      </w:pPr>
      <w:r>
        <w:rPr>
          <w:rFonts w:hAnsi="宋体" w:hint="eastAsia"/>
        </w:rPr>
        <w:t>本文件主要起草人：</w:t>
      </w:r>
    </w:p>
    <w:p w14:paraId="2BBFC717" w14:textId="77777777" w:rsidR="0084387C" w:rsidRDefault="00000000">
      <w:pPr>
        <w:pStyle w:val="af9"/>
        <w:ind w:firstLine="420"/>
        <w:rPr>
          <w:rFonts w:hAnsi="宋体" w:hint="eastAsia"/>
        </w:rPr>
      </w:pPr>
      <w:r>
        <w:rPr>
          <w:rFonts w:hAnsi="宋体" w:hint="eastAsia"/>
        </w:rPr>
        <w:t>本文件所代替文件的历次版本发布情况为：</w:t>
      </w:r>
    </w:p>
    <w:p w14:paraId="7745995D" w14:textId="77777777" w:rsidR="0084387C" w:rsidRDefault="00000000">
      <w:pPr>
        <w:pStyle w:val="af9"/>
        <w:ind w:firstLine="420"/>
        <w:rPr>
          <w:rFonts w:hAnsi="宋体" w:hint="eastAsia"/>
        </w:rPr>
      </w:pPr>
      <w:r>
        <w:rPr>
          <w:rFonts w:ascii="Times New Roman"/>
        </w:rPr>
        <w:t>——</w:t>
      </w:r>
      <w:r>
        <w:rPr>
          <w:rFonts w:hAnsi="宋体" w:hint="eastAsia"/>
        </w:rPr>
        <w:t>200</w:t>
      </w:r>
      <w:r>
        <w:rPr>
          <w:rFonts w:hAnsi="宋体"/>
        </w:rPr>
        <w:t>6</w:t>
      </w:r>
      <w:r>
        <w:rPr>
          <w:rFonts w:hAnsi="宋体" w:hint="eastAsia"/>
        </w:rPr>
        <w:t>年首次发布为</w:t>
      </w:r>
      <w:r>
        <w:rPr>
          <w:rFonts w:hAnsi="宋体"/>
        </w:rPr>
        <w:t>GB</w:t>
      </w:r>
      <w:r>
        <w:rPr>
          <w:rFonts w:hAnsi="宋体" w:hint="eastAsia"/>
        </w:rPr>
        <w:t>/T</w:t>
      </w:r>
      <w:r>
        <w:rPr>
          <w:rFonts w:hAnsi="宋体"/>
        </w:rPr>
        <w:t xml:space="preserve"> </w:t>
      </w:r>
      <w:r>
        <w:rPr>
          <w:rFonts w:hAnsi="宋体" w:hint="eastAsia"/>
        </w:rPr>
        <w:t>2</w:t>
      </w:r>
      <w:r>
        <w:rPr>
          <w:rFonts w:hAnsi="宋体"/>
        </w:rPr>
        <w:t>0198</w:t>
      </w:r>
      <w:r>
        <w:rPr>
          <w:rFonts w:hAnsi="宋体" w:hint="eastAsia"/>
        </w:rPr>
        <w:t>—200</w:t>
      </w:r>
      <w:r>
        <w:rPr>
          <w:rFonts w:hAnsi="宋体"/>
        </w:rPr>
        <w:t>6</w:t>
      </w:r>
      <w:r>
        <w:rPr>
          <w:rFonts w:hAnsi="宋体" w:hint="eastAsia"/>
        </w:rPr>
        <w:t>；</w:t>
      </w:r>
    </w:p>
    <w:p w14:paraId="44198716" w14:textId="77777777" w:rsidR="0084387C" w:rsidRDefault="00000000">
      <w:pPr>
        <w:pStyle w:val="af9"/>
        <w:ind w:firstLine="420"/>
        <w:rPr>
          <w:rFonts w:hAnsi="宋体" w:hint="eastAsia"/>
        </w:rPr>
      </w:pPr>
      <w:r>
        <w:rPr>
          <w:rFonts w:ascii="Times New Roman"/>
        </w:rPr>
        <w:t>——</w:t>
      </w:r>
      <w:r>
        <w:rPr>
          <w:rFonts w:hAnsi="宋体" w:hint="eastAsia"/>
        </w:rPr>
        <w:t>本次为第一次修订。</w:t>
      </w:r>
    </w:p>
    <w:p w14:paraId="22602C0A" w14:textId="77777777" w:rsidR="0084387C" w:rsidRDefault="0084387C">
      <w:pPr>
        <w:pStyle w:val="af9"/>
        <w:spacing w:line="276" w:lineRule="auto"/>
        <w:ind w:firstLine="420"/>
        <w:rPr>
          <w:rFonts w:ascii="Times New Roman"/>
        </w:rPr>
      </w:pPr>
    </w:p>
    <w:p w14:paraId="5E863553" w14:textId="77777777" w:rsidR="0084387C" w:rsidRDefault="0084387C">
      <w:pPr>
        <w:pStyle w:val="af9"/>
        <w:spacing w:line="276" w:lineRule="auto"/>
        <w:ind w:firstLine="420"/>
        <w:rPr>
          <w:rFonts w:ascii="Times New Roman"/>
        </w:rPr>
        <w:sectPr w:rsidR="0084387C">
          <w:footerReference w:type="even" r:id="rId14"/>
          <w:footerReference w:type="default" r:id="rId15"/>
          <w:pgSz w:w="11907" w:h="16839"/>
          <w:pgMar w:top="1418" w:right="1134" w:bottom="1418" w:left="1418" w:header="1134" w:footer="851" w:gutter="0"/>
          <w:pgNumType w:fmt="upperRoman" w:start="1"/>
          <w:cols w:space="425"/>
          <w:docGrid w:type="lines" w:linePitch="312"/>
        </w:sectPr>
      </w:pPr>
    </w:p>
    <w:p w14:paraId="5DB8AC1C" w14:textId="77777777" w:rsidR="0084387C" w:rsidRDefault="00000000">
      <w:pPr>
        <w:pStyle w:val="aff0"/>
        <w:adjustRightInd w:val="0"/>
        <w:snapToGrid w:val="0"/>
        <w:spacing w:before="700" w:line="240" w:lineRule="auto"/>
        <w:rPr>
          <w:rFonts w:ascii="Times New Roman"/>
        </w:rPr>
      </w:pPr>
      <w:r>
        <w:rPr>
          <w:rFonts w:ascii="Times New Roman" w:hint="eastAsia"/>
        </w:rPr>
        <w:lastRenderedPageBreak/>
        <w:t>表面活性剂和洗涤剂</w:t>
      </w:r>
      <w:r>
        <w:rPr>
          <w:rFonts w:ascii="Times New Roman" w:hint="eastAsia"/>
        </w:rPr>
        <w:t xml:space="preserve">  </w:t>
      </w:r>
      <w:r>
        <w:rPr>
          <w:rFonts w:ascii="Times New Roman" w:hint="eastAsia"/>
        </w:rPr>
        <w:t>在碱性条件下可水解的阴离子活性物</w:t>
      </w:r>
      <w:r>
        <w:rPr>
          <w:rFonts w:ascii="Times New Roman" w:hint="eastAsia"/>
        </w:rPr>
        <w:t xml:space="preserve">  </w:t>
      </w:r>
      <w:r>
        <w:rPr>
          <w:rFonts w:ascii="Times New Roman" w:hint="eastAsia"/>
        </w:rPr>
        <w:t>可水解和不可水解阴离子活性物的测定</w:t>
      </w:r>
    </w:p>
    <w:p w14:paraId="10AF8AC9" w14:textId="77777777" w:rsidR="0084387C" w:rsidRDefault="00000000">
      <w:pPr>
        <w:pStyle w:val="a1"/>
        <w:numPr>
          <w:ilvl w:val="1"/>
          <w:numId w:val="0"/>
        </w:numPr>
        <w:spacing w:before="156" w:after="156"/>
      </w:pPr>
      <w:r>
        <w:rPr>
          <w:rFonts w:hint="eastAsia"/>
        </w:rPr>
        <w:t>1  范围</w:t>
      </w:r>
    </w:p>
    <w:p w14:paraId="396C07FA" w14:textId="77777777" w:rsidR="0084387C" w:rsidRDefault="00000000">
      <w:pPr>
        <w:adjustRightInd w:val="0"/>
        <w:snapToGrid w:val="0"/>
        <w:ind w:firstLineChars="200" w:firstLine="420"/>
      </w:pPr>
      <w:r>
        <w:rPr>
          <w:rFonts w:hint="eastAsia"/>
        </w:rPr>
        <w:t>本文件规定了一种在碱性条件下的洗涤剂中可水解阴离子活性物的测定方法。</w:t>
      </w:r>
    </w:p>
    <w:p w14:paraId="007ADC30" w14:textId="77777777" w:rsidR="0084387C" w:rsidRDefault="00000000">
      <w:pPr>
        <w:adjustRightInd w:val="0"/>
        <w:snapToGrid w:val="0"/>
        <w:ind w:firstLineChars="200" w:firstLine="420"/>
      </w:pPr>
      <w:r>
        <w:rPr>
          <w:rFonts w:hint="eastAsia"/>
        </w:rPr>
        <w:t>本文件适用于分析含有可水解和不可水解阴离子活性物的混合物（包括二烷基磺基丁二酸盐和脂肪酸甘油脂硫酸盐）。</w:t>
      </w:r>
    </w:p>
    <w:p w14:paraId="045DD32A" w14:textId="77777777" w:rsidR="0084387C" w:rsidRDefault="00000000">
      <w:pPr>
        <w:pStyle w:val="a1"/>
        <w:numPr>
          <w:ilvl w:val="1"/>
          <w:numId w:val="0"/>
        </w:numPr>
        <w:spacing w:before="156" w:after="156"/>
      </w:pPr>
      <w:r>
        <w:rPr>
          <w:rFonts w:hint="eastAsia"/>
        </w:rPr>
        <w:t>2  规范性引用文件</w:t>
      </w:r>
    </w:p>
    <w:p w14:paraId="1E7AAECE" w14:textId="77777777" w:rsidR="0084387C" w:rsidRDefault="00000000">
      <w:pPr>
        <w:adjustRightInd w:val="0"/>
        <w:snapToGrid w:val="0"/>
        <w:ind w:firstLineChars="200"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390CAD1" w14:textId="77777777" w:rsidR="0084387C" w:rsidRDefault="00000000">
      <w:pPr>
        <w:adjustRightInd w:val="0"/>
        <w:snapToGrid w:val="0"/>
        <w:ind w:firstLineChars="200" w:firstLine="420"/>
      </w:pPr>
      <w:r>
        <w:rPr>
          <w:rFonts w:ascii="宋体" w:hAnsi="宋体" w:hint="eastAsia"/>
          <w:szCs w:val="21"/>
        </w:rPr>
        <w:t>GB</w:t>
      </w:r>
      <w:r>
        <w:rPr>
          <w:rFonts w:ascii="宋体" w:hAnsi="宋体"/>
          <w:szCs w:val="21"/>
        </w:rPr>
        <w:t>/</w:t>
      </w:r>
      <w:r>
        <w:rPr>
          <w:rFonts w:ascii="宋体" w:hAnsi="宋体" w:hint="eastAsia"/>
          <w:szCs w:val="21"/>
        </w:rPr>
        <w:t xml:space="preserve">T 5173-2018 </w:t>
      </w:r>
      <w:r>
        <w:rPr>
          <w:rFonts w:ascii="宋体" w:hAnsi="宋体"/>
          <w:szCs w:val="21"/>
        </w:rPr>
        <w:t xml:space="preserve"> </w:t>
      </w:r>
      <w:r>
        <w:rPr>
          <w:rFonts w:ascii="宋体" w:hAnsi="宋体" w:hint="eastAsia"/>
          <w:szCs w:val="21"/>
        </w:rPr>
        <w:t>表面活性剂  洗涤剂  阴离子活性物含量的测定  直接两相滴定法</w:t>
      </w:r>
    </w:p>
    <w:p w14:paraId="44C19465" w14:textId="77777777" w:rsidR="0084387C" w:rsidRDefault="00000000">
      <w:pPr>
        <w:adjustRightInd w:val="0"/>
        <w:snapToGrid w:val="0"/>
        <w:ind w:firstLineChars="200" w:firstLine="420"/>
      </w:pPr>
      <w:r>
        <w:rPr>
          <w:rFonts w:ascii="宋体" w:hAnsi="宋体" w:hint="eastAsia"/>
          <w:szCs w:val="21"/>
          <w:shd w:val="clear" w:color="FFFFFF" w:fill="D9D9D9"/>
        </w:rPr>
        <w:t>GB/T 6682  分析实验室用水规格和试验方法</w:t>
      </w:r>
    </w:p>
    <w:p w14:paraId="5166CE64" w14:textId="77777777" w:rsidR="0084387C" w:rsidRDefault="00000000">
      <w:pPr>
        <w:adjustRightInd w:val="0"/>
        <w:snapToGrid w:val="0"/>
        <w:ind w:firstLineChars="200" w:firstLine="420"/>
        <w:rPr>
          <w:rFonts w:ascii="宋体" w:hAnsi="宋体" w:hint="eastAsia"/>
          <w:szCs w:val="21"/>
        </w:rPr>
      </w:pPr>
      <w:r>
        <w:rPr>
          <w:rFonts w:ascii="宋体" w:hAnsi="宋体" w:hint="eastAsia"/>
          <w:szCs w:val="21"/>
        </w:rPr>
        <w:t>QB/T 2739-2005 洗涤用品常用试验溶液  滴定分析（容量分析）用试验溶液的制备</w:t>
      </w:r>
    </w:p>
    <w:p w14:paraId="7008BB26" w14:textId="77777777" w:rsidR="0084387C" w:rsidRDefault="00000000">
      <w:pPr>
        <w:pStyle w:val="a1"/>
        <w:numPr>
          <w:ilvl w:val="1"/>
          <w:numId w:val="0"/>
        </w:numPr>
        <w:spacing w:before="156" w:after="156"/>
      </w:pPr>
      <w:bookmarkStart w:id="2" w:name="_Toc155316797"/>
      <w:r>
        <w:rPr>
          <w:rFonts w:hint="eastAsia"/>
        </w:rPr>
        <w:t>3  术语和定义</w:t>
      </w:r>
      <w:bookmarkEnd w:id="2"/>
    </w:p>
    <w:p w14:paraId="1A00A56E" w14:textId="77777777" w:rsidR="0084387C" w:rsidRDefault="00000000">
      <w:pPr>
        <w:pStyle w:val="af9"/>
        <w:ind w:firstLine="420"/>
        <w:rPr>
          <w:rFonts w:ascii="Times New Roman" w:cs="宋体"/>
        </w:rPr>
      </w:pPr>
      <w:r>
        <w:rPr>
          <w:rFonts w:ascii="Times New Roman" w:cs="宋体" w:hint="eastAsia"/>
        </w:rPr>
        <w:t>本文件没有需要界定的术语和定义。</w:t>
      </w:r>
    </w:p>
    <w:p w14:paraId="25D733EC" w14:textId="77777777" w:rsidR="0084387C" w:rsidRDefault="00000000">
      <w:pPr>
        <w:pStyle w:val="a1"/>
        <w:numPr>
          <w:ilvl w:val="1"/>
          <w:numId w:val="0"/>
        </w:numPr>
        <w:spacing w:before="156" w:after="156"/>
      </w:pPr>
      <w:r>
        <w:rPr>
          <w:rFonts w:hint="eastAsia"/>
        </w:rPr>
        <w:t>4  原理</w:t>
      </w:r>
    </w:p>
    <w:p w14:paraId="4BEF98BC" w14:textId="77777777" w:rsidR="0084387C" w:rsidRDefault="00000000">
      <w:pPr>
        <w:adjustRightInd w:val="0"/>
        <w:snapToGrid w:val="0"/>
        <w:ind w:firstLineChars="200" w:firstLine="420"/>
        <w:rPr>
          <w:rFonts w:ascii="宋体" w:hAnsi="宋体" w:hint="eastAsia"/>
          <w:bCs/>
        </w:rPr>
      </w:pPr>
      <w:r>
        <w:rPr>
          <w:rFonts w:ascii="宋体" w:hAnsi="宋体" w:hint="eastAsia"/>
          <w:bCs/>
        </w:rPr>
        <w:t>按照GB/T 5173所述的直接两相滴定法，用氯化苄苏鎓溶液滴定一份试验溶液；将另一份试验溶液在碱性条件下回流水解后，用氯化苄苏鎓溶液如前滴定未水解阴离子活性物，从所得结果计算可水解和不可水解阴离子活性物的含量。</w:t>
      </w:r>
    </w:p>
    <w:bookmarkEnd w:id="1"/>
    <w:p w14:paraId="41C34062" w14:textId="77777777" w:rsidR="0084387C" w:rsidRDefault="00000000">
      <w:pPr>
        <w:pStyle w:val="a1"/>
        <w:numPr>
          <w:ilvl w:val="1"/>
          <w:numId w:val="0"/>
        </w:numPr>
        <w:spacing w:before="156" w:after="156"/>
      </w:pPr>
      <w:r>
        <w:rPr>
          <w:rFonts w:hint="eastAsia"/>
        </w:rPr>
        <w:t>5  试剂</w:t>
      </w:r>
    </w:p>
    <w:p w14:paraId="7A89D281" w14:textId="77777777" w:rsidR="0084387C" w:rsidRDefault="00000000">
      <w:pPr>
        <w:pStyle w:val="ab"/>
        <w:adjustRightInd w:val="0"/>
        <w:snapToGrid w:val="0"/>
        <w:ind w:firstLineChars="200" w:firstLine="420"/>
      </w:pPr>
      <w:r>
        <w:rPr>
          <w:rFonts w:hint="eastAsia"/>
        </w:rPr>
        <w:t>除非另有说明，在分析中仅使用确认为分析纯的试剂，水为符合GB/T 6682三级或以上的水。</w:t>
      </w:r>
    </w:p>
    <w:p w14:paraId="145D9614" w14:textId="77777777" w:rsidR="0084387C" w:rsidRDefault="00000000">
      <w:pPr>
        <w:rPr>
          <w:szCs w:val="21"/>
        </w:rPr>
      </w:pPr>
      <w:r>
        <w:rPr>
          <w:rFonts w:hint="eastAsia"/>
          <w:b/>
          <w:bCs/>
          <w:noProof/>
          <w:color w:val="000000" w:themeColor="text1"/>
          <w:lang w:val="zh-CN"/>
        </w:rPr>
        <mc:AlternateContent>
          <mc:Choice Requires="wps">
            <w:drawing>
              <wp:anchor distT="0" distB="0" distL="114300" distR="114300" simplePos="0" relativeHeight="251673600" behindDoc="0" locked="0" layoutInCell="1" allowOverlap="1" wp14:anchorId="1CF2F9D3" wp14:editId="3066DBBC">
                <wp:simplePos x="0" y="0"/>
                <wp:positionH relativeFrom="margin">
                  <wp:posOffset>5917565</wp:posOffset>
                </wp:positionH>
                <wp:positionV relativeFrom="paragraph">
                  <wp:posOffset>80010</wp:posOffset>
                </wp:positionV>
                <wp:extent cx="0" cy="1507490"/>
                <wp:effectExtent l="6350" t="0" r="19050" b="16510"/>
                <wp:wrapNone/>
                <wp:docPr id="14" name="直接连接符 14"/>
                <wp:cNvGraphicFramePr/>
                <a:graphic xmlns:a="http://schemas.openxmlformats.org/drawingml/2006/main">
                  <a:graphicData uri="http://schemas.microsoft.com/office/word/2010/wordprocessingShape">
                    <wps:wsp>
                      <wps:cNvCnPr/>
                      <wps:spPr>
                        <a:xfrm>
                          <a:off x="0" y="0"/>
                          <a:ext cx="0" cy="150749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5.95pt;margin-top:6.3pt;height:118.7pt;width:0pt;mso-position-horizontal-relative:margin;z-index:251673600;mso-width-relative:page;mso-height-relative:page;" filled="f" stroked="t" coordsize="21600,21600" o:gfxdata="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8Im3ydgAAAAKAQAADwAAAAAAAAABACAAAAA4AAAA&#10;ZHJzL2Rvd25yZXYueG1sUEsBAhQAFAAAAAgAh07iQHTr6VXxAQAA1gMAAA4AAAAAAAAAAQAgAAAA&#10;PQEAAGRycy9lMm9Eb2MueG1sUEsFBgAAAAAGAAYAWQEAAKAFAAAAAA==&#10;">
                <v:fill on="f" focussize="0,0"/>
                <v:stroke weight="1pt" color="#000000 [3200]" joinstyle="round"/>
                <v:imagedata o:title=""/>
                <o:lock v:ext="edit" aspectratio="f"/>
              </v:line>
            </w:pict>
          </mc:Fallback>
        </mc:AlternateContent>
      </w:r>
      <w:r>
        <w:rPr>
          <w:szCs w:val="21"/>
        </w:rPr>
        <w:t>5</w:t>
      </w:r>
      <w:r>
        <w:rPr>
          <w:rFonts w:hint="eastAsia"/>
          <w:szCs w:val="21"/>
        </w:rPr>
        <w:t xml:space="preserve">.1 </w:t>
      </w:r>
      <w:r>
        <w:rPr>
          <w:rFonts w:hint="eastAsia"/>
          <w:szCs w:val="21"/>
        </w:rPr>
        <w:t>氢氧化钠，</w:t>
      </w:r>
      <w:r>
        <w:rPr>
          <w:rFonts w:ascii="Times New Roman Italic" w:hAnsi="Times New Roman Italic" w:cs="Times New Roman Italic"/>
          <w:i/>
          <w:iCs/>
          <w:szCs w:val="21"/>
        </w:rPr>
        <w:t>c</w:t>
      </w:r>
      <w:r>
        <w:rPr>
          <w:rFonts w:ascii="Times New Roman Regular" w:hAnsi="Times New Roman Regular" w:cs="Times New Roman Regular" w:hint="eastAsia"/>
          <w:szCs w:val="21"/>
        </w:rPr>
        <w:t>（</w:t>
      </w:r>
      <m:oMath>
        <m:sSub>
          <m:sSubPr>
            <m:ctrlPr>
              <w:rPr>
                <w:rFonts w:ascii="DejaVu Math TeX Gyre" w:hAnsi="DejaVu Math TeX Gyre" w:cs="Times New Roman Regular"/>
                <w:i/>
                <w:szCs w:val="21"/>
              </w:rPr>
            </m:ctrlPr>
          </m:sSubPr>
          <m:e>
            <m:r>
              <w:rPr>
                <w:rFonts w:ascii="DejaVu Math TeX Gyre" w:hAnsi="DejaVu Math TeX Gyre" w:cs="Times New Roman Regular"/>
                <w:szCs w:val="21"/>
              </w:rPr>
              <m:t>N</m:t>
            </m:r>
          </m:e>
          <m:sub>
            <m:r>
              <w:rPr>
                <w:rFonts w:ascii="DejaVu Math TeX Gyre" w:hAnsi="DejaVu Math TeX Gyre" w:cs="Times New Roman Regular" w:hint="eastAsia"/>
                <w:szCs w:val="21"/>
              </w:rPr>
              <m:t>a</m:t>
            </m:r>
          </m:sub>
        </m:sSub>
        <m:r>
          <w:rPr>
            <w:rFonts w:ascii="DejaVu Math TeX Gyre" w:hAnsi="DejaVu Math TeX Gyre" w:cs="Times New Roman Regular"/>
            <w:szCs w:val="21"/>
          </w:rPr>
          <m:t>OH</m:t>
        </m:r>
      </m:oMath>
      <w:r>
        <w:rPr>
          <w:rFonts w:ascii="Times New Roman Regular" w:hAnsi="Times New Roman Regular" w:cs="Times New Roman Regular" w:hint="eastAsia"/>
          <w:szCs w:val="21"/>
        </w:rPr>
        <w:t>）</w:t>
      </w:r>
      <w:r>
        <w:rPr>
          <w:rFonts w:ascii="Times New Roman Regular" w:hAnsi="Times New Roman Regular" w:cs="Times New Roman Regular"/>
          <w:szCs w:val="21"/>
        </w:rPr>
        <w:t>=10 mol/L</w:t>
      </w:r>
      <w:r>
        <w:rPr>
          <w:rFonts w:ascii="宋体" w:hAnsi="宋体" w:hint="eastAsia"/>
          <w:szCs w:val="21"/>
        </w:rPr>
        <w:t>溶液。</w:t>
      </w:r>
    </w:p>
    <w:p w14:paraId="65533071" w14:textId="77777777" w:rsidR="0084387C" w:rsidRDefault="00000000">
      <w:pPr>
        <w:rPr>
          <w:szCs w:val="21"/>
        </w:rPr>
      </w:pPr>
      <w:r>
        <w:rPr>
          <w:szCs w:val="21"/>
        </w:rPr>
        <w:t>5</w:t>
      </w:r>
      <w:r>
        <w:rPr>
          <w:rFonts w:hint="eastAsia"/>
          <w:szCs w:val="21"/>
        </w:rPr>
        <w:t xml:space="preserve">.2 </w:t>
      </w:r>
      <w:r>
        <w:rPr>
          <w:rFonts w:hint="eastAsia"/>
          <w:szCs w:val="21"/>
        </w:rPr>
        <w:t>硫酸，</w:t>
      </w:r>
      <w:r>
        <w:rPr>
          <w:rFonts w:ascii="Times New Roman Italic" w:hAnsi="Times New Roman Italic" w:cs="Times New Roman Italic"/>
          <w:i/>
          <w:iCs/>
          <w:szCs w:val="21"/>
        </w:rPr>
        <w:t>c</w:t>
      </w:r>
      <w:r>
        <w:rPr>
          <w:rFonts w:ascii="Times New Roman Italic" w:hAnsi="Times New Roman Italic" w:cs="Times New Roman Italic" w:hint="eastAsia"/>
          <w:szCs w:val="21"/>
        </w:rPr>
        <w:t>（</w:t>
      </w:r>
      <m:oMath>
        <m:box>
          <m:boxPr>
            <m:ctrlPr>
              <w:rPr>
                <w:rFonts w:ascii="DejaVu Math TeX Gyre" w:hAnsi="DejaVu Math TeX Gyre" w:cs="Times New Roman Regular"/>
                <w:szCs w:val="21"/>
              </w:rPr>
            </m:ctrlPr>
          </m:boxPr>
          <m:e>
            <m:argPr>
              <m:argSz m:val="-1"/>
            </m:argPr>
            <m:f>
              <m:fPr>
                <m:ctrlPr>
                  <w:rPr>
                    <w:rFonts w:ascii="DejaVu Math TeX Gyre" w:hAnsi="DejaVu Math TeX Gyre" w:cs="Times New Roman Regular"/>
                    <w:szCs w:val="21"/>
                  </w:rPr>
                </m:ctrlPr>
              </m:fPr>
              <m:num>
                <m:r>
                  <m:rPr>
                    <m:sty m:val="p"/>
                  </m:rPr>
                  <w:rPr>
                    <w:rFonts w:ascii="DejaVu Math TeX Gyre" w:hAnsi="DejaVu Math TeX Gyre" w:cs="Times New Roman Regular"/>
                    <w:szCs w:val="21"/>
                  </w:rPr>
                  <m:t>1</m:t>
                </m:r>
              </m:num>
              <m:den>
                <m:r>
                  <m:rPr>
                    <m:sty m:val="p"/>
                  </m:rPr>
                  <w:rPr>
                    <w:rFonts w:ascii="DejaVu Math TeX Gyre" w:hAnsi="DejaVu Math TeX Gyre" w:cs="Times New Roman Regular"/>
                    <w:szCs w:val="21"/>
                  </w:rPr>
                  <m:t>2</m:t>
                </m:r>
              </m:den>
            </m:f>
          </m:e>
        </m:box>
        <m:sSub>
          <m:sSubPr>
            <m:ctrlPr>
              <w:rPr>
                <w:rFonts w:ascii="DejaVu Math TeX Gyre" w:hAnsi="DejaVu Math TeX Gyre" w:cs="Times New Roman Regular"/>
                <w:szCs w:val="21"/>
              </w:rPr>
            </m:ctrlPr>
          </m:sSubPr>
          <m:e>
            <m:r>
              <w:rPr>
                <w:rFonts w:ascii="DejaVu Math TeX Gyre" w:hAnsi="DejaVu Math TeX Gyre" w:cs="Times New Roman Regular"/>
                <w:szCs w:val="21"/>
              </w:rPr>
              <m:t>H</m:t>
            </m:r>
          </m:e>
          <m:sub>
            <m:r>
              <m:rPr>
                <m:sty m:val="p"/>
              </m:rPr>
              <w:rPr>
                <w:rFonts w:ascii="DejaVu Math TeX Gyre" w:hAnsi="DejaVu Math TeX Gyre" w:cs="Times New Roman Regular"/>
                <w:szCs w:val="21"/>
              </w:rPr>
              <m:t>2</m:t>
            </m:r>
          </m:sub>
        </m:sSub>
        <m:r>
          <w:rPr>
            <w:rFonts w:ascii="DejaVu Math TeX Gyre" w:hAnsi="DejaVu Math TeX Gyre" w:cs="Times New Roman Regular"/>
            <w:szCs w:val="21"/>
          </w:rPr>
          <m:t>S</m:t>
        </m:r>
        <m:sSub>
          <m:sSubPr>
            <m:ctrlPr>
              <w:rPr>
                <w:rFonts w:ascii="DejaVu Math TeX Gyre" w:hAnsi="DejaVu Math TeX Gyre" w:cs="Times New Roman Regular"/>
                <w:szCs w:val="21"/>
              </w:rPr>
            </m:ctrlPr>
          </m:sSubPr>
          <m:e>
            <m:r>
              <w:rPr>
                <w:rFonts w:ascii="DejaVu Math TeX Gyre" w:hAnsi="DejaVu Math TeX Gyre" w:cs="Times New Roman Regular"/>
                <w:szCs w:val="21"/>
              </w:rPr>
              <m:t>O</m:t>
            </m:r>
          </m:e>
          <m:sub>
            <m:r>
              <m:rPr>
                <m:sty m:val="p"/>
              </m:rPr>
              <w:rPr>
                <w:rFonts w:ascii="DejaVu Math TeX Gyre" w:hAnsi="DejaVu Math TeX Gyre" w:cs="Times New Roman Regular"/>
                <w:szCs w:val="21"/>
              </w:rPr>
              <m:t>4</m:t>
            </m:r>
          </m:sub>
        </m:sSub>
      </m:oMath>
      <w:r>
        <w:rPr>
          <w:rFonts w:hint="eastAsia"/>
          <w:szCs w:val="21"/>
        </w:rPr>
        <w:t>）</w:t>
      </w:r>
      <w:r>
        <w:rPr>
          <w:rFonts w:hint="eastAsia"/>
          <w:szCs w:val="21"/>
        </w:rPr>
        <w:t>=10 mol/L</w:t>
      </w:r>
      <w:r>
        <w:rPr>
          <w:rFonts w:hint="eastAsia"/>
          <w:szCs w:val="21"/>
        </w:rPr>
        <w:t>溶液。</w:t>
      </w:r>
    </w:p>
    <w:p w14:paraId="43763B36" w14:textId="77777777" w:rsidR="0084387C" w:rsidRDefault="00000000">
      <w:pPr>
        <w:rPr>
          <w:szCs w:val="21"/>
        </w:rPr>
      </w:pPr>
      <w:r>
        <w:rPr>
          <w:szCs w:val="21"/>
        </w:rPr>
        <w:t>5</w:t>
      </w:r>
      <w:r>
        <w:rPr>
          <w:rFonts w:hint="eastAsia"/>
          <w:szCs w:val="21"/>
        </w:rPr>
        <w:t xml:space="preserve">.3 </w:t>
      </w:r>
      <w:r>
        <w:rPr>
          <w:rFonts w:hint="eastAsia"/>
          <w:szCs w:val="21"/>
        </w:rPr>
        <w:t>硫酸，</w:t>
      </w:r>
      <w:r>
        <w:rPr>
          <w:rFonts w:ascii="Times New Roman Italic" w:hAnsi="Times New Roman Italic" w:cs="Times New Roman Italic"/>
          <w:i/>
          <w:iCs/>
          <w:szCs w:val="21"/>
        </w:rPr>
        <w:t>c</w:t>
      </w:r>
      <w:r>
        <w:rPr>
          <w:rFonts w:ascii="Times New Roman Italic" w:hAnsi="Times New Roman Italic" w:cs="Times New Roman Italic" w:hint="eastAsia"/>
          <w:szCs w:val="21"/>
        </w:rPr>
        <w:t>（</w:t>
      </w:r>
      <m:oMath>
        <m:box>
          <m:boxPr>
            <m:ctrlPr>
              <w:rPr>
                <w:rFonts w:ascii="DejaVu Math TeX Gyre" w:hAnsi="DejaVu Math TeX Gyre" w:cs="Times New Roman Regular"/>
                <w:szCs w:val="21"/>
              </w:rPr>
            </m:ctrlPr>
          </m:boxPr>
          <m:e>
            <m:argPr>
              <m:argSz m:val="-1"/>
            </m:argPr>
            <m:f>
              <m:fPr>
                <m:ctrlPr>
                  <w:rPr>
                    <w:rFonts w:ascii="DejaVu Math TeX Gyre" w:hAnsi="DejaVu Math TeX Gyre" w:cs="Times New Roman Regular"/>
                    <w:szCs w:val="21"/>
                  </w:rPr>
                </m:ctrlPr>
              </m:fPr>
              <m:num>
                <m:r>
                  <m:rPr>
                    <m:sty m:val="p"/>
                  </m:rPr>
                  <w:rPr>
                    <w:rFonts w:ascii="DejaVu Math TeX Gyre" w:hAnsi="DejaVu Math TeX Gyre" w:cs="Times New Roman Regular"/>
                    <w:szCs w:val="21"/>
                  </w:rPr>
                  <m:t>1</m:t>
                </m:r>
              </m:num>
              <m:den>
                <m:r>
                  <m:rPr>
                    <m:sty m:val="p"/>
                  </m:rPr>
                  <w:rPr>
                    <w:rFonts w:ascii="DejaVu Math TeX Gyre" w:hAnsi="DejaVu Math TeX Gyre" w:cs="Times New Roman Regular"/>
                    <w:szCs w:val="21"/>
                  </w:rPr>
                  <m:t>2</m:t>
                </m:r>
              </m:den>
            </m:f>
          </m:e>
        </m:box>
        <m:sSub>
          <m:sSubPr>
            <m:ctrlPr>
              <w:rPr>
                <w:rFonts w:ascii="DejaVu Math TeX Gyre" w:hAnsi="DejaVu Math TeX Gyre" w:cs="Times New Roman Regular"/>
                <w:szCs w:val="21"/>
              </w:rPr>
            </m:ctrlPr>
          </m:sSubPr>
          <m:e>
            <m:r>
              <w:rPr>
                <w:rFonts w:ascii="DejaVu Math TeX Gyre" w:hAnsi="DejaVu Math TeX Gyre" w:cs="Times New Roman Regular"/>
                <w:szCs w:val="21"/>
              </w:rPr>
              <m:t>H</m:t>
            </m:r>
          </m:e>
          <m:sub>
            <m:r>
              <m:rPr>
                <m:sty m:val="p"/>
              </m:rPr>
              <w:rPr>
                <w:rFonts w:ascii="DejaVu Math TeX Gyre" w:hAnsi="DejaVu Math TeX Gyre" w:cs="Times New Roman Regular"/>
                <w:szCs w:val="21"/>
              </w:rPr>
              <m:t>2</m:t>
            </m:r>
          </m:sub>
        </m:sSub>
        <m:r>
          <w:rPr>
            <w:rFonts w:ascii="DejaVu Math TeX Gyre" w:hAnsi="DejaVu Math TeX Gyre" w:cs="Times New Roman Regular"/>
            <w:szCs w:val="21"/>
          </w:rPr>
          <m:t>S</m:t>
        </m:r>
        <m:sSub>
          <m:sSubPr>
            <m:ctrlPr>
              <w:rPr>
                <w:rFonts w:ascii="DejaVu Math TeX Gyre" w:hAnsi="DejaVu Math TeX Gyre" w:cs="Times New Roman Regular"/>
                <w:szCs w:val="21"/>
              </w:rPr>
            </m:ctrlPr>
          </m:sSubPr>
          <m:e>
            <m:r>
              <w:rPr>
                <w:rFonts w:ascii="DejaVu Math TeX Gyre" w:hAnsi="DejaVu Math TeX Gyre" w:cs="Times New Roman Regular"/>
                <w:szCs w:val="21"/>
              </w:rPr>
              <m:t>O</m:t>
            </m:r>
          </m:e>
          <m:sub>
            <m:r>
              <m:rPr>
                <m:sty m:val="p"/>
              </m:rPr>
              <w:rPr>
                <w:rFonts w:ascii="DejaVu Math TeX Gyre" w:hAnsi="DejaVu Math TeX Gyre" w:cs="Times New Roman Regular"/>
                <w:szCs w:val="21"/>
              </w:rPr>
              <m:t>4</m:t>
            </m:r>
          </m:sub>
        </m:sSub>
      </m:oMath>
      <w:r>
        <w:rPr>
          <w:rFonts w:hint="eastAsia"/>
          <w:szCs w:val="21"/>
        </w:rPr>
        <w:t>）</w:t>
      </w:r>
      <w:r>
        <w:rPr>
          <w:rFonts w:hint="eastAsia"/>
          <w:szCs w:val="21"/>
        </w:rPr>
        <w:t>=1.0 mol/L</w:t>
      </w:r>
      <w:r>
        <w:rPr>
          <w:rFonts w:hint="eastAsia"/>
          <w:szCs w:val="21"/>
        </w:rPr>
        <w:t>溶液。</w:t>
      </w:r>
    </w:p>
    <w:p w14:paraId="29CA707E" w14:textId="77777777" w:rsidR="0084387C" w:rsidRDefault="00000000">
      <w:pPr>
        <w:rPr>
          <w:rFonts w:ascii="宋体" w:hAnsi="宋体" w:hint="eastAsia"/>
          <w:szCs w:val="21"/>
        </w:rPr>
      </w:pPr>
      <w:r>
        <w:rPr>
          <w:szCs w:val="21"/>
        </w:rPr>
        <w:t>5</w:t>
      </w:r>
      <w:r>
        <w:rPr>
          <w:rFonts w:hint="eastAsia"/>
          <w:szCs w:val="21"/>
        </w:rPr>
        <w:t>.4</w:t>
      </w:r>
      <w:r>
        <w:rPr>
          <w:rFonts w:ascii="宋体" w:hAnsi="宋体" w:hint="eastAsia"/>
          <w:szCs w:val="21"/>
        </w:rPr>
        <w:t xml:space="preserve"> 酚酞指示液，按</w:t>
      </w:r>
      <w:r>
        <w:rPr>
          <w:rFonts w:ascii="Times New Roman Regular" w:hAnsi="Times New Roman Regular" w:cs="Times New Roman Regular"/>
          <w:szCs w:val="21"/>
        </w:rPr>
        <w:t>QB/T 2739</w:t>
      </w:r>
      <w:r>
        <w:rPr>
          <w:rFonts w:ascii="宋体" w:hAnsi="宋体" w:hint="eastAsia"/>
          <w:szCs w:val="21"/>
        </w:rPr>
        <w:t>配制。</w:t>
      </w:r>
    </w:p>
    <w:p w14:paraId="564A5E80" w14:textId="77777777" w:rsidR="0084387C" w:rsidRDefault="00000000">
      <w:pPr>
        <w:rPr>
          <w:rFonts w:ascii="宋体" w:hAnsi="宋体" w:hint="eastAsia"/>
          <w:szCs w:val="21"/>
        </w:rPr>
      </w:pPr>
      <w:r>
        <w:rPr>
          <w:szCs w:val="21"/>
        </w:rPr>
        <w:t>5</w:t>
      </w:r>
      <w:r>
        <w:rPr>
          <w:rFonts w:hint="eastAsia"/>
          <w:szCs w:val="21"/>
        </w:rPr>
        <w:t xml:space="preserve">.5 </w:t>
      </w:r>
      <w:r>
        <w:rPr>
          <w:rFonts w:hint="eastAsia"/>
          <w:szCs w:val="21"/>
        </w:rPr>
        <w:t>沸石颗粒。</w:t>
      </w:r>
    </w:p>
    <w:p w14:paraId="7E182E56" w14:textId="77777777" w:rsidR="0084387C" w:rsidRDefault="00000000">
      <w:pPr>
        <w:rPr>
          <w:szCs w:val="21"/>
        </w:rPr>
      </w:pPr>
      <w:r>
        <w:rPr>
          <w:szCs w:val="21"/>
        </w:rPr>
        <w:t>5</w:t>
      </w:r>
      <w:r>
        <w:rPr>
          <w:rFonts w:hint="eastAsia"/>
          <w:szCs w:val="21"/>
        </w:rPr>
        <w:t xml:space="preserve">.6 </w:t>
      </w:r>
      <w:r>
        <w:rPr>
          <w:rFonts w:hint="eastAsia"/>
          <w:szCs w:val="21"/>
        </w:rPr>
        <w:t>三氯甲烷</w:t>
      </w:r>
      <m:oMath>
        <m:sSub>
          <m:sSubPr>
            <m:ctrlPr>
              <w:rPr>
                <w:rFonts w:ascii="DejaVu Math TeX Gyre" w:hAnsi="DejaVu Math TeX Gyre" w:cs="Times New Roman Regular"/>
                <w:color w:val="000000" w:themeColor="text1"/>
                <w:vertAlign w:val="subscript"/>
              </w:rPr>
            </m:ctrlPr>
          </m:sSubPr>
          <m:e>
            <m:r>
              <w:rPr>
                <w:rFonts w:ascii="DejaVu Math TeX Gyre" w:hAnsi="DejaVu Math TeX Gyre" w:cs="Times New Roman Regular"/>
                <w:color w:val="000000" w:themeColor="text1"/>
                <w:vertAlign w:val="subscript"/>
              </w:rPr>
              <m:t>ρ</m:t>
            </m:r>
          </m:e>
          <m:sub>
            <m:r>
              <m:rPr>
                <m:sty m:val="p"/>
              </m:rPr>
              <w:rPr>
                <w:rFonts w:ascii="DejaVu Math TeX Gyre" w:hAnsi="DejaVu Math TeX Gyre" w:cs="Times New Roman Regular"/>
                <w:color w:val="000000" w:themeColor="text1"/>
                <w:vertAlign w:val="subscript"/>
              </w:rPr>
              <m:t>20</m:t>
            </m:r>
          </m:sub>
        </m:sSub>
      </m:oMath>
      <w:r>
        <w:rPr>
          <w:rFonts w:ascii="Times New Roman Regular" w:hAnsi="Times New Roman Regular" w:cs="Times New Roman Regular"/>
          <w:color w:val="000000"/>
        </w:rPr>
        <w:t>=1.48 g/mL</w:t>
      </w:r>
      <w:r>
        <w:rPr>
          <w:rFonts w:hint="eastAsia"/>
          <w:szCs w:val="21"/>
        </w:rPr>
        <w:t>，沸程（</w:t>
      </w:r>
      <w:r>
        <w:rPr>
          <w:rFonts w:hint="eastAsia"/>
          <w:szCs w:val="21"/>
        </w:rPr>
        <w:t>59.5</w:t>
      </w:r>
      <w:r>
        <w:rPr>
          <w:rFonts w:hint="eastAsia"/>
          <w:szCs w:val="21"/>
        </w:rPr>
        <w:t>～</w:t>
      </w:r>
      <w:r>
        <w:rPr>
          <w:rFonts w:hint="eastAsia"/>
          <w:szCs w:val="21"/>
        </w:rPr>
        <w:t>61.5</w:t>
      </w:r>
      <w:r>
        <w:rPr>
          <w:rFonts w:hint="eastAsia"/>
          <w:szCs w:val="21"/>
        </w:rPr>
        <w:t>）</w:t>
      </w:r>
      <w:r>
        <w:rPr>
          <w:rFonts w:ascii="宋体" w:hAnsi="宋体" w:hint="eastAsia"/>
          <w:szCs w:val="21"/>
        </w:rPr>
        <w:t>℃</w:t>
      </w:r>
      <w:r>
        <w:rPr>
          <w:rFonts w:hint="eastAsia"/>
          <w:szCs w:val="21"/>
        </w:rPr>
        <w:t>。</w:t>
      </w:r>
    </w:p>
    <w:p w14:paraId="00B69148" w14:textId="77777777" w:rsidR="0084387C" w:rsidRDefault="00000000">
      <w:pPr>
        <w:rPr>
          <w:szCs w:val="21"/>
        </w:rPr>
      </w:pPr>
      <w:r>
        <w:rPr>
          <w:szCs w:val="21"/>
        </w:rPr>
        <w:t>5</w:t>
      </w:r>
      <w:r>
        <w:rPr>
          <w:rFonts w:hint="eastAsia"/>
          <w:szCs w:val="21"/>
        </w:rPr>
        <w:t xml:space="preserve">.7 </w:t>
      </w:r>
      <w:r>
        <w:rPr>
          <w:rFonts w:hint="eastAsia"/>
          <w:szCs w:val="21"/>
        </w:rPr>
        <w:t>酸性混合指示剂溶液，按</w:t>
      </w:r>
      <w:r>
        <w:rPr>
          <w:rFonts w:hint="eastAsia"/>
          <w:szCs w:val="21"/>
        </w:rPr>
        <w:t>GB/T 5173</w:t>
      </w:r>
      <w:r>
        <w:rPr>
          <w:rFonts w:hint="eastAsia"/>
          <w:szCs w:val="21"/>
        </w:rPr>
        <w:t>配制。</w:t>
      </w:r>
    </w:p>
    <w:p w14:paraId="76F02A54" w14:textId="77777777" w:rsidR="0084387C" w:rsidRDefault="00000000">
      <w:pPr>
        <w:ind w:left="420" w:hangingChars="200" w:hanging="420"/>
        <w:rPr>
          <w:rFonts w:hAnsi="宋体" w:hint="eastAsia"/>
          <w:szCs w:val="21"/>
        </w:rPr>
      </w:pPr>
      <w:r>
        <w:rPr>
          <w:szCs w:val="21"/>
        </w:rPr>
        <w:t>5</w:t>
      </w:r>
      <w:r>
        <w:rPr>
          <w:rFonts w:hint="eastAsia"/>
          <w:szCs w:val="21"/>
        </w:rPr>
        <w:t xml:space="preserve">.8 </w:t>
      </w:r>
      <w:r>
        <w:rPr>
          <w:rFonts w:hint="eastAsia"/>
          <w:szCs w:val="21"/>
        </w:rPr>
        <w:t>氯化苄苏</w:t>
      </w:r>
      <w:r>
        <w:rPr>
          <w:rFonts w:ascii="宋体" w:hAnsi="宋体" w:hint="eastAsia"/>
          <w:szCs w:val="21"/>
        </w:rPr>
        <w:t>鎓，</w:t>
      </w:r>
      <w:r>
        <w:rPr>
          <w:rFonts w:ascii="Times New Roman Italic" w:hAnsi="Times New Roman Italic" w:cs="Times New Roman Italic"/>
          <w:i/>
          <w:iCs/>
          <w:szCs w:val="21"/>
        </w:rPr>
        <w:t>c</w:t>
      </w:r>
      <w:r>
        <w:rPr>
          <w:rFonts w:hint="eastAsia"/>
          <w:szCs w:val="21"/>
        </w:rPr>
        <w:t>（</w:t>
      </w:r>
      <m:oMath>
        <m:sSub>
          <m:sSubPr>
            <m:ctrlPr>
              <w:rPr>
                <w:rFonts w:ascii="Cambria Math" w:hAnsi="Cambria Math"/>
                <w:iCs/>
                <w:szCs w:val="21"/>
              </w:rPr>
            </m:ctrlPr>
          </m:sSubPr>
          <m:e>
            <m:r>
              <m:rPr>
                <m:sty m:val="p"/>
              </m:rPr>
              <w:rPr>
                <w:rFonts w:ascii="Cambria Math" w:hAnsi="Cambria Math"/>
                <w:szCs w:val="21"/>
              </w:rPr>
              <m:t>C</m:t>
            </m:r>
          </m:e>
          <m:sub>
            <m:r>
              <m:rPr>
                <m:sty m:val="p"/>
              </m:rPr>
              <w:rPr>
                <w:rFonts w:ascii="Cambria Math" w:hAnsi="Cambria Math"/>
                <w:szCs w:val="21"/>
              </w:rPr>
              <m:t>27</m:t>
            </m:r>
          </m:sub>
        </m:sSub>
        <m:sSub>
          <m:sSubPr>
            <m:ctrlPr>
              <w:rPr>
                <w:rFonts w:ascii="Cambria Math" w:hAnsi="Cambria Math"/>
                <w:iCs/>
                <w:szCs w:val="21"/>
              </w:rPr>
            </m:ctrlPr>
          </m:sSubPr>
          <m:e>
            <m:r>
              <m:rPr>
                <m:sty m:val="p"/>
              </m:rPr>
              <w:rPr>
                <w:rFonts w:ascii="Cambria Math" w:hAnsi="Cambria Math"/>
                <w:szCs w:val="21"/>
              </w:rPr>
              <m:t>H</m:t>
            </m:r>
          </m:e>
          <m:sub>
            <m:r>
              <m:rPr>
                <m:sty m:val="p"/>
              </m:rPr>
              <w:rPr>
                <w:rFonts w:ascii="Cambria Math" w:hAnsi="Cambria Math"/>
                <w:szCs w:val="21"/>
              </w:rPr>
              <m:t>42</m:t>
            </m:r>
          </m:sub>
        </m:sSub>
        <m:r>
          <m:rPr>
            <m:sty m:val="p"/>
          </m:rPr>
          <w:rPr>
            <w:rFonts w:ascii="Cambria Math" w:hAnsi="Cambria Math"/>
            <w:szCs w:val="21"/>
          </w:rPr>
          <m:t>ClN</m:t>
        </m:r>
        <m:sSub>
          <m:sSubPr>
            <m:ctrlPr>
              <w:rPr>
                <w:rFonts w:ascii="Cambria Math" w:hAnsi="Cambria Math"/>
                <w:iCs/>
                <w:szCs w:val="21"/>
              </w:rPr>
            </m:ctrlPr>
          </m:sSubPr>
          <m:e>
            <m:r>
              <m:rPr>
                <m:sty m:val="p"/>
              </m:rPr>
              <w:rPr>
                <w:rFonts w:ascii="Cambria Math" w:hAnsi="Cambria Math"/>
                <w:szCs w:val="21"/>
              </w:rPr>
              <m:t>O</m:t>
            </m:r>
          </m:e>
          <m:sub>
            <m:r>
              <m:rPr>
                <m:sty m:val="p"/>
              </m:rPr>
              <w:rPr>
                <w:rFonts w:ascii="Cambria Math" w:hAnsi="Cambria Math"/>
                <w:szCs w:val="21"/>
              </w:rPr>
              <m:t>2</m:t>
            </m:r>
          </m:sub>
        </m:sSub>
      </m:oMath>
      <w:r>
        <w:rPr>
          <w:rFonts w:ascii="Times New Roman Regular" w:hAnsi="Times New Roman Regular" w:cs="Times New Roman Regular" w:hint="eastAsia"/>
          <w:szCs w:val="21"/>
        </w:rPr>
        <w:t>）</w:t>
      </w:r>
      <w:r>
        <w:rPr>
          <w:rFonts w:ascii="Times New Roman Regular" w:hAnsi="Times New Roman Regular" w:cs="Times New Roman Regular" w:hint="eastAsia"/>
          <w:szCs w:val="21"/>
        </w:rPr>
        <w:t>=</w:t>
      </w:r>
      <w:r>
        <w:rPr>
          <w:rFonts w:ascii="Times New Roman Regular" w:hAnsi="Times New Roman Regular" w:cs="Times New Roman Regular"/>
          <w:szCs w:val="21"/>
        </w:rPr>
        <w:t>0.004 mol/L</w:t>
      </w:r>
      <w:r>
        <w:rPr>
          <w:rFonts w:ascii="宋体" w:hAnsi="宋体" w:hint="eastAsia"/>
          <w:szCs w:val="21"/>
        </w:rPr>
        <w:t>标准滴定溶液，按GB/T 5173配制和标定。</w:t>
      </w:r>
    </w:p>
    <w:p w14:paraId="7694DB0A" w14:textId="77777777" w:rsidR="0084387C" w:rsidRDefault="00000000">
      <w:pPr>
        <w:pStyle w:val="a1"/>
        <w:numPr>
          <w:ilvl w:val="1"/>
          <w:numId w:val="0"/>
        </w:numPr>
        <w:spacing w:before="156" w:after="156"/>
      </w:pPr>
      <w:r>
        <w:rPr>
          <w:rFonts w:hint="eastAsia"/>
        </w:rPr>
        <w:t>6  仪器</w:t>
      </w:r>
    </w:p>
    <w:p w14:paraId="47A4040C" w14:textId="77777777" w:rsidR="0084387C" w:rsidRDefault="00000000">
      <w:pPr>
        <w:rPr>
          <w:szCs w:val="21"/>
        </w:rPr>
      </w:pPr>
      <w:r>
        <w:rPr>
          <w:rFonts w:hint="eastAsia"/>
          <w:b/>
          <w:bCs/>
          <w:noProof/>
          <w:color w:val="000000" w:themeColor="text1"/>
          <w:lang w:val="zh-CN"/>
        </w:rPr>
        <mc:AlternateContent>
          <mc:Choice Requires="wps">
            <w:drawing>
              <wp:anchor distT="0" distB="0" distL="114300" distR="114300" simplePos="0" relativeHeight="251671552" behindDoc="0" locked="0" layoutInCell="1" allowOverlap="1" wp14:anchorId="75088B18" wp14:editId="63CD02B7">
                <wp:simplePos x="0" y="0"/>
                <wp:positionH relativeFrom="margin">
                  <wp:posOffset>5929630</wp:posOffset>
                </wp:positionH>
                <wp:positionV relativeFrom="paragraph">
                  <wp:posOffset>41910</wp:posOffset>
                </wp:positionV>
                <wp:extent cx="0" cy="236220"/>
                <wp:effectExtent l="6350" t="0" r="19050" b="17780"/>
                <wp:wrapNone/>
                <wp:docPr id="1" name="直接连接符 1"/>
                <wp:cNvGraphicFramePr/>
                <a:graphic xmlns:a="http://schemas.openxmlformats.org/drawingml/2006/main">
                  <a:graphicData uri="http://schemas.microsoft.com/office/word/2010/wordprocessingShape">
                    <wps:wsp>
                      <wps:cNvCnPr/>
                      <wps:spPr>
                        <a:xfrm>
                          <a:off x="0" y="0"/>
                          <a:ext cx="0" cy="23622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6.9pt;margin-top:3.3pt;height:18.6pt;width:0pt;mso-position-horizontal-relative:margin;z-index:251671552;mso-width-relative:page;mso-height-relative:page;" filled="f" stroked="t" coordsize="21600,21600" o:gfxdata="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EQTGW7WAAAACAEAAA8AAAAAAAAAAQAgAAAAOAAAAGRycy9k&#10;b3ducmV2LnhtbFBLAQIUABQAAAAIAIdO4kCDtUKQ7gEAANMDAAAOAAAAAAAAAAEAIAAAADsBAABk&#10;cnMvZTJvRG9jLnhtbFBLBQYAAAAABgAGAFkBAACbBQAAAAA=&#10;">
                <v:fill on="f" focussize="0,0"/>
                <v:stroke weight="1pt" color="#000000 [3200]" joinstyle="round"/>
                <v:imagedata o:title=""/>
                <o:lock v:ext="edit" aspectratio="f"/>
              </v:line>
            </w:pict>
          </mc:Fallback>
        </mc:AlternateContent>
      </w:r>
      <w:r>
        <w:rPr>
          <w:szCs w:val="21"/>
        </w:rPr>
        <w:t>6</w:t>
      </w:r>
      <w:r>
        <w:rPr>
          <w:rFonts w:hint="eastAsia"/>
          <w:szCs w:val="21"/>
        </w:rPr>
        <w:t xml:space="preserve">.1 </w:t>
      </w:r>
      <w:r>
        <w:rPr>
          <w:rFonts w:hint="eastAsia"/>
          <w:szCs w:val="21"/>
        </w:rPr>
        <w:t>移液管，</w:t>
      </w:r>
      <w:r>
        <w:rPr>
          <w:rFonts w:hint="eastAsia"/>
          <w:szCs w:val="21"/>
        </w:rPr>
        <w:t>5 mL</w:t>
      </w:r>
      <w:r>
        <w:rPr>
          <w:rFonts w:hint="eastAsia"/>
          <w:szCs w:val="21"/>
        </w:rPr>
        <w:t>、</w:t>
      </w:r>
      <w:r>
        <w:rPr>
          <w:rFonts w:hint="eastAsia"/>
          <w:szCs w:val="21"/>
        </w:rPr>
        <w:t xml:space="preserve">10 </w:t>
      </w:r>
      <w:r>
        <w:rPr>
          <w:szCs w:val="21"/>
        </w:rPr>
        <w:t>mL</w:t>
      </w:r>
      <w:r>
        <w:rPr>
          <w:rFonts w:hint="eastAsia"/>
          <w:szCs w:val="21"/>
        </w:rPr>
        <w:t>、</w:t>
      </w:r>
      <w:r>
        <w:rPr>
          <w:rFonts w:hint="eastAsia"/>
          <w:szCs w:val="21"/>
        </w:rPr>
        <w:t>25 mL</w:t>
      </w:r>
      <w:r>
        <w:rPr>
          <w:rFonts w:hint="eastAsia"/>
          <w:szCs w:val="21"/>
        </w:rPr>
        <w:t>。</w:t>
      </w:r>
    </w:p>
    <w:p w14:paraId="7A3C0C1C" w14:textId="77777777" w:rsidR="0084387C" w:rsidRDefault="00000000">
      <w:pPr>
        <w:rPr>
          <w:szCs w:val="21"/>
        </w:rPr>
      </w:pPr>
      <w:r>
        <w:rPr>
          <w:szCs w:val="21"/>
        </w:rPr>
        <w:t>6</w:t>
      </w:r>
      <w:r>
        <w:rPr>
          <w:rFonts w:hint="eastAsia"/>
          <w:szCs w:val="21"/>
        </w:rPr>
        <w:t xml:space="preserve">.2 </w:t>
      </w:r>
      <w:r>
        <w:rPr>
          <w:rFonts w:hint="eastAsia"/>
          <w:szCs w:val="21"/>
        </w:rPr>
        <w:t>锥形瓶，</w:t>
      </w:r>
      <w:r>
        <w:rPr>
          <w:rFonts w:hint="eastAsia"/>
          <w:szCs w:val="21"/>
        </w:rPr>
        <w:t>250 mL</w:t>
      </w:r>
      <w:r>
        <w:rPr>
          <w:rFonts w:hint="eastAsia"/>
          <w:szCs w:val="21"/>
        </w:rPr>
        <w:t>，带锥形磨砂玻璃塞。</w:t>
      </w:r>
    </w:p>
    <w:p w14:paraId="6CA98083" w14:textId="77777777" w:rsidR="0084387C" w:rsidRDefault="00000000">
      <w:pPr>
        <w:rPr>
          <w:szCs w:val="21"/>
        </w:rPr>
      </w:pPr>
      <w:r>
        <w:rPr>
          <w:rFonts w:hint="eastAsia"/>
          <w:b/>
          <w:bCs/>
          <w:noProof/>
          <w:color w:val="000000" w:themeColor="text1"/>
          <w:lang w:val="zh-CN"/>
        </w:rPr>
        <mc:AlternateContent>
          <mc:Choice Requires="wps">
            <w:drawing>
              <wp:anchor distT="0" distB="0" distL="114300" distR="114300" simplePos="0" relativeHeight="251672576" behindDoc="0" locked="0" layoutInCell="1" allowOverlap="1" wp14:anchorId="4AEE0F01" wp14:editId="29C2821D">
                <wp:simplePos x="0" y="0"/>
                <wp:positionH relativeFrom="margin">
                  <wp:posOffset>5923280</wp:posOffset>
                </wp:positionH>
                <wp:positionV relativeFrom="paragraph">
                  <wp:posOffset>82550</wp:posOffset>
                </wp:positionV>
                <wp:extent cx="0" cy="313055"/>
                <wp:effectExtent l="6350" t="0" r="19050" b="17145"/>
                <wp:wrapNone/>
                <wp:docPr id="3" name="直接连接符 3"/>
                <wp:cNvGraphicFramePr/>
                <a:graphic xmlns:a="http://schemas.openxmlformats.org/drawingml/2006/main">
                  <a:graphicData uri="http://schemas.microsoft.com/office/word/2010/wordprocessingShape">
                    <wps:wsp>
                      <wps:cNvCnPr/>
                      <wps:spPr>
                        <a:xfrm>
                          <a:off x="0" y="0"/>
                          <a:ext cx="0" cy="313055"/>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6.4pt;margin-top:6.5pt;height:24.65pt;width:0pt;mso-position-horizontal-relative:margin;z-index:251672576;mso-width-relative:page;mso-height-relative:page;" filled="f" stroked="t" coordsize="21600,21600" o:gfxdata="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BXHXYz1wAAAAkBAAAPAAAAAAAAAAEAIAAAADgAAABkcnMv&#10;ZG93bnJldi54bWxQSwECFAAUAAAACACHTuJANTXhGO4BAADTAwAADgAAAAAAAAABACAAAAA8AQAA&#10;ZHJzL2Uyb0RvYy54bWxQSwUGAAAAAAYABgBZAQAAnAUAAAAA&#10;">
                <v:fill on="f" focussize="0,0"/>
                <v:stroke weight="1pt" color="#000000 [3200]" joinstyle="round"/>
                <v:imagedata o:title=""/>
                <o:lock v:ext="edit" aspectratio="f"/>
              </v:line>
            </w:pict>
          </mc:Fallback>
        </mc:AlternateContent>
      </w:r>
      <w:r>
        <w:rPr>
          <w:szCs w:val="21"/>
        </w:rPr>
        <w:t>6</w:t>
      </w:r>
      <w:r>
        <w:rPr>
          <w:rFonts w:hint="eastAsia"/>
          <w:szCs w:val="21"/>
        </w:rPr>
        <w:t xml:space="preserve">.3 </w:t>
      </w:r>
      <w:r>
        <w:rPr>
          <w:rFonts w:hint="eastAsia"/>
          <w:szCs w:val="21"/>
        </w:rPr>
        <w:t>回流冷凝器，水冷式，底部有锥形磨口玻璃接头，</w:t>
      </w:r>
      <w:r>
        <w:rPr>
          <w:rFonts w:hint="eastAsia"/>
          <w:color w:val="000000" w:themeColor="text1"/>
          <w:szCs w:val="21"/>
        </w:rPr>
        <w:t>长度不小于</w:t>
      </w:r>
      <w:r>
        <w:rPr>
          <w:rFonts w:hint="eastAsia"/>
          <w:color w:val="000000" w:themeColor="text1"/>
          <w:szCs w:val="21"/>
        </w:rPr>
        <w:t>500 mm</w:t>
      </w:r>
      <w:r>
        <w:rPr>
          <w:rFonts w:hint="eastAsia"/>
          <w:szCs w:val="21"/>
        </w:rPr>
        <w:t>。</w:t>
      </w:r>
    </w:p>
    <w:p w14:paraId="3DB4029F" w14:textId="77777777" w:rsidR="0084387C" w:rsidRDefault="00000000">
      <w:pPr>
        <w:rPr>
          <w:szCs w:val="21"/>
        </w:rPr>
      </w:pPr>
      <w:r>
        <w:rPr>
          <w:szCs w:val="21"/>
        </w:rPr>
        <w:t>6</w:t>
      </w:r>
      <w:r>
        <w:rPr>
          <w:rFonts w:hint="eastAsia"/>
          <w:szCs w:val="21"/>
        </w:rPr>
        <w:t xml:space="preserve">.4 </w:t>
      </w:r>
      <w:r>
        <w:rPr>
          <w:rFonts w:hint="eastAsia"/>
          <w:szCs w:val="21"/>
        </w:rPr>
        <w:t>水浴锅，可控制温度。</w:t>
      </w:r>
    </w:p>
    <w:p w14:paraId="3DD5704B" w14:textId="77777777" w:rsidR="0084387C" w:rsidRDefault="00000000">
      <w:pPr>
        <w:pStyle w:val="a1"/>
        <w:numPr>
          <w:ilvl w:val="1"/>
          <w:numId w:val="0"/>
        </w:numPr>
        <w:spacing w:before="156" w:after="156"/>
      </w:pPr>
      <w:r>
        <w:rPr>
          <w:rFonts w:hint="eastAsia"/>
        </w:rPr>
        <w:t>7  步骤</w:t>
      </w:r>
    </w:p>
    <w:p w14:paraId="4041C19E" w14:textId="77777777" w:rsidR="0084387C" w:rsidRDefault="00000000">
      <w:pPr>
        <w:rPr>
          <w:szCs w:val="21"/>
        </w:rPr>
      </w:pPr>
      <w:r>
        <w:rPr>
          <w:rFonts w:hint="eastAsia"/>
          <w:b/>
          <w:bCs/>
          <w:noProof/>
          <w:color w:val="000000" w:themeColor="text1"/>
          <w:lang w:val="zh-CN"/>
        </w:rPr>
        <w:lastRenderedPageBreak/>
        <mc:AlternateContent>
          <mc:Choice Requires="wps">
            <w:drawing>
              <wp:anchor distT="0" distB="0" distL="114300" distR="114300" simplePos="0" relativeHeight="251670528" behindDoc="0" locked="0" layoutInCell="1" allowOverlap="1" wp14:anchorId="260669D4" wp14:editId="5F16B4F1">
                <wp:simplePos x="0" y="0"/>
                <wp:positionH relativeFrom="margin">
                  <wp:posOffset>5934710</wp:posOffset>
                </wp:positionH>
                <wp:positionV relativeFrom="paragraph">
                  <wp:posOffset>180340</wp:posOffset>
                </wp:positionV>
                <wp:extent cx="5080" cy="323850"/>
                <wp:effectExtent l="6350" t="0" r="13970" b="6350"/>
                <wp:wrapNone/>
                <wp:docPr id="669165284" name="直接连接符 669165284"/>
                <wp:cNvGraphicFramePr/>
                <a:graphic xmlns:a="http://schemas.openxmlformats.org/drawingml/2006/main">
                  <a:graphicData uri="http://schemas.microsoft.com/office/word/2010/wordprocessingShape">
                    <wps:wsp>
                      <wps:cNvCnPr/>
                      <wps:spPr>
                        <a:xfrm>
                          <a:off x="0" y="0"/>
                          <a:ext cx="5080" cy="3238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467.3pt;margin-top:14.2pt;height:25.5pt;width:0.4pt;mso-position-horizontal-relative:margin;z-index:251670528;mso-width-relative:page;mso-height-relative:page;" filled="f" stroked="t" coordsize="21600,21600" o:gfxdata="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L+jA4naAAAACQEAAA8AAAAA&#10;AAAAAQAgAAAAOAAAAGRycy9kb3ducmV2LnhtbFBLAQIUABQAAAAIAIdO4kA1/KeL/AEAAOYDAAAO&#10;AAAAAAAAAAEAIAAAAD8BAABkcnMvZTJvRG9jLnhtbFBLBQYAAAAABgAGAFkBAACtBQAAAAA=&#10;">
                <v:fill on="f" focussize="0,0"/>
                <v:stroke weight="1pt" color="#000000 [3200]" joinstyle="round"/>
                <v:imagedata o:title=""/>
                <o:lock v:ext="edit" aspectratio="f"/>
              </v:line>
            </w:pict>
          </mc:Fallback>
        </mc:AlternateContent>
      </w:r>
      <w:r>
        <w:rPr>
          <w:szCs w:val="21"/>
        </w:rPr>
        <w:t>7</w:t>
      </w:r>
      <w:r>
        <w:rPr>
          <w:rFonts w:hint="eastAsia"/>
          <w:szCs w:val="21"/>
        </w:rPr>
        <w:t xml:space="preserve">.1 </w:t>
      </w:r>
      <w:r>
        <w:rPr>
          <w:rFonts w:hint="eastAsia"/>
          <w:szCs w:val="21"/>
        </w:rPr>
        <w:t>试验测定溶液的配制</w:t>
      </w:r>
    </w:p>
    <w:p w14:paraId="35AD921B" w14:textId="77777777" w:rsidR="0084387C" w:rsidRDefault="00000000">
      <w:pPr>
        <w:ind w:firstLineChars="200" w:firstLine="420"/>
        <w:rPr>
          <w:szCs w:val="21"/>
        </w:rPr>
      </w:pPr>
      <w:r>
        <w:rPr>
          <w:rFonts w:hint="eastAsia"/>
          <w:szCs w:val="21"/>
        </w:rPr>
        <w:t>参考</w:t>
      </w:r>
      <w:r>
        <w:rPr>
          <w:rFonts w:hint="eastAsia"/>
          <w:szCs w:val="21"/>
        </w:rPr>
        <w:t>GB/T 5173</w:t>
      </w:r>
      <w:r>
        <w:rPr>
          <w:rFonts w:hint="eastAsia"/>
          <w:szCs w:val="21"/>
        </w:rPr>
        <w:t>中</w:t>
      </w:r>
      <w:r>
        <w:rPr>
          <w:rFonts w:hint="eastAsia"/>
          <w:szCs w:val="21"/>
        </w:rPr>
        <w:t>7.1</w:t>
      </w:r>
      <w:r>
        <w:rPr>
          <w:rFonts w:hint="eastAsia"/>
          <w:szCs w:val="21"/>
        </w:rPr>
        <w:t>表</w:t>
      </w:r>
      <w:r>
        <w:rPr>
          <w:rFonts w:hint="eastAsia"/>
          <w:szCs w:val="21"/>
        </w:rPr>
        <w:t>1</w:t>
      </w:r>
      <w:r>
        <w:rPr>
          <w:rFonts w:hint="eastAsia"/>
          <w:szCs w:val="21"/>
        </w:rPr>
        <w:t>称取约含有（</w:t>
      </w:r>
      <w:r>
        <w:rPr>
          <w:rFonts w:hint="eastAsia"/>
          <w:szCs w:val="21"/>
        </w:rPr>
        <w:t>3</w:t>
      </w:r>
      <w:r>
        <w:rPr>
          <w:rFonts w:hint="eastAsia"/>
          <w:szCs w:val="21"/>
        </w:rPr>
        <w:t>～</w:t>
      </w:r>
      <w:r>
        <w:rPr>
          <w:rFonts w:hint="eastAsia"/>
          <w:szCs w:val="21"/>
        </w:rPr>
        <w:t>5</w:t>
      </w:r>
      <w:r>
        <w:rPr>
          <w:rFonts w:hint="eastAsia"/>
          <w:szCs w:val="21"/>
        </w:rPr>
        <w:t>）</w:t>
      </w:r>
      <w:r>
        <w:rPr>
          <w:rFonts w:hint="eastAsia"/>
          <w:szCs w:val="21"/>
        </w:rPr>
        <w:t>mmol</w:t>
      </w:r>
      <w:r>
        <w:rPr>
          <w:rFonts w:hint="eastAsia"/>
          <w:szCs w:val="21"/>
        </w:rPr>
        <w:t>阴离子活性物的实验室样品（称准至</w:t>
      </w:r>
      <w:r>
        <w:rPr>
          <w:rFonts w:hint="eastAsia"/>
          <w:szCs w:val="21"/>
        </w:rPr>
        <w:t>0.001g</w:t>
      </w:r>
      <w:r>
        <w:rPr>
          <w:rFonts w:hint="eastAsia"/>
          <w:szCs w:val="21"/>
        </w:rPr>
        <w:t>），按</w:t>
      </w:r>
      <w:r>
        <w:rPr>
          <w:rFonts w:hint="eastAsia"/>
          <w:szCs w:val="21"/>
        </w:rPr>
        <w:t>GB/T 5173</w:t>
      </w:r>
      <w:r>
        <w:rPr>
          <w:rFonts w:hint="eastAsia"/>
          <w:szCs w:val="21"/>
        </w:rPr>
        <w:t>中</w:t>
      </w:r>
      <w:r>
        <w:rPr>
          <w:rFonts w:hint="eastAsia"/>
          <w:szCs w:val="21"/>
        </w:rPr>
        <w:t>7.2</w:t>
      </w:r>
      <w:r>
        <w:rPr>
          <w:rFonts w:hint="eastAsia"/>
          <w:szCs w:val="21"/>
        </w:rPr>
        <w:t>配制试验溶液。</w:t>
      </w:r>
    </w:p>
    <w:p w14:paraId="5ECAE921" w14:textId="77777777" w:rsidR="0084387C" w:rsidRDefault="00000000">
      <w:pPr>
        <w:rPr>
          <w:szCs w:val="21"/>
        </w:rPr>
      </w:pPr>
      <w:r>
        <w:rPr>
          <w:szCs w:val="21"/>
        </w:rPr>
        <w:t>7</w:t>
      </w:r>
      <w:r>
        <w:rPr>
          <w:rFonts w:hint="eastAsia"/>
          <w:szCs w:val="21"/>
        </w:rPr>
        <w:t xml:space="preserve">.2 </w:t>
      </w:r>
      <w:r>
        <w:rPr>
          <w:rFonts w:hint="eastAsia"/>
          <w:szCs w:val="21"/>
        </w:rPr>
        <w:t>总阴离子活性物的测定</w:t>
      </w:r>
      <w:r>
        <w:rPr>
          <w:rFonts w:hint="eastAsia"/>
          <w:szCs w:val="21"/>
        </w:rPr>
        <w:t xml:space="preserve">  </w:t>
      </w:r>
    </w:p>
    <w:p w14:paraId="295E703B" w14:textId="77777777" w:rsidR="0084387C" w:rsidRDefault="00000000">
      <w:pPr>
        <w:ind w:firstLineChars="200" w:firstLine="420"/>
        <w:rPr>
          <w:szCs w:val="21"/>
        </w:rPr>
      </w:pPr>
      <w:r>
        <w:rPr>
          <w:rFonts w:hint="eastAsia"/>
          <w:szCs w:val="21"/>
        </w:rPr>
        <w:t>用移液管准确移取</w:t>
      </w:r>
      <w:r>
        <w:rPr>
          <w:rFonts w:hint="eastAsia"/>
          <w:szCs w:val="21"/>
        </w:rPr>
        <w:t>25 mL</w:t>
      </w:r>
      <w:r>
        <w:rPr>
          <w:rFonts w:hint="eastAsia"/>
          <w:szCs w:val="21"/>
        </w:rPr>
        <w:t>试验溶液（</w:t>
      </w:r>
      <w:r>
        <w:rPr>
          <w:rFonts w:hint="eastAsia"/>
          <w:szCs w:val="21"/>
        </w:rPr>
        <w:t>7.1</w:t>
      </w:r>
      <w:r>
        <w:rPr>
          <w:rFonts w:hint="eastAsia"/>
          <w:szCs w:val="21"/>
        </w:rPr>
        <w:t>），按</w:t>
      </w:r>
      <w:r>
        <w:rPr>
          <w:rFonts w:hint="eastAsia"/>
          <w:szCs w:val="21"/>
        </w:rPr>
        <w:t>GB/T 5173</w:t>
      </w:r>
      <w:r>
        <w:rPr>
          <w:rFonts w:hint="eastAsia"/>
          <w:szCs w:val="21"/>
        </w:rPr>
        <w:t>中</w:t>
      </w:r>
      <w:r>
        <w:rPr>
          <w:rFonts w:hint="eastAsia"/>
          <w:szCs w:val="21"/>
        </w:rPr>
        <w:t>7.2</w:t>
      </w:r>
      <w:r>
        <w:rPr>
          <w:rFonts w:hint="eastAsia"/>
          <w:szCs w:val="21"/>
        </w:rPr>
        <w:t>测定样品中的总阴离子活性物。</w:t>
      </w:r>
    </w:p>
    <w:p w14:paraId="270447B9" w14:textId="77777777" w:rsidR="0084387C" w:rsidRDefault="00000000">
      <w:pPr>
        <w:rPr>
          <w:szCs w:val="21"/>
        </w:rPr>
      </w:pPr>
      <w:r>
        <w:rPr>
          <w:szCs w:val="21"/>
        </w:rPr>
        <w:t>7</w:t>
      </w:r>
      <w:r>
        <w:rPr>
          <w:rFonts w:hint="eastAsia"/>
          <w:szCs w:val="21"/>
        </w:rPr>
        <w:t xml:space="preserve">.3 </w:t>
      </w:r>
      <w:r>
        <w:rPr>
          <w:rFonts w:hint="eastAsia"/>
          <w:szCs w:val="21"/>
        </w:rPr>
        <w:t>可水解阴离子活性物的测定</w:t>
      </w:r>
    </w:p>
    <w:p w14:paraId="6A405833" w14:textId="77777777" w:rsidR="0084387C" w:rsidRDefault="00000000">
      <w:pPr>
        <w:ind w:firstLineChars="200" w:firstLine="420"/>
        <w:rPr>
          <w:szCs w:val="21"/>
        </w:rPr>
      </w:pPr>
      <w:r>
        <w:rPr>
          <w:rFonts w:hint="eastAsia"/>
          <w:szCs w:val="21"/>
        </w:rPr>
        <w:t>用移液管移取</w:t>
      </w:r>
      <w:r>
        <w:rPr>
          <w:rFonts w:hint="eastAsia"/>
          <w:szCs w:val="21"/>
        </w:rPr>
        <w:t>25 mL</w:t>
      </w:r>
      <w:r>
        <w:rPr>
          <w:rFonts w:hint="eastAsia"/>
          <w:szCs w:val="21"/>
        </w:rPr>
        <w:t>试验溶液（</w:t>
      </w:r>
      <w:r>
        <w:rPr>
          <w:rFonts w:hint="eastAsia"/>
          <w:szCs w:val="21"/>
        </w:rPr>
        <w:t>7.1</w:t>
      </w:r>
      <w:r>
        <w:rPr>
          <w:rFonts w:hint="eastAsia"/>
          <w:szCs w:val="21"/>
        </w:rPr>
        <w:t>）至锥形瓶中，用</w:t>
      </w:r>
      <w:r>
        <w:rPr>
          <w:rFonts w:hint="eastAsia"/>
          <w:szCs w:val="21"/>
        </w:rPr>
        <w:t>5 mL</w:t>
      </w:r>
      <w:r>
        <w:rPr>
          <w:rFonts w:hint="eastAsia"/>
          <w:szCs w:val="21"/>
        </w:rPr>
        <w:t>移液管移取氢氧化钠溶液（</w:t>
      </w:r>
      <w:r>
        <w:rPr>
          <w:rFonts w:hint="eastAsia"/>
          <w:szCs w:val="21"/>
        </w:rPr>
        <w:t>5.1</w:t>
      </w:r>
      <w:r>
        <w:rPr>
          <w:rFonts w:hint="eastAsia"/>
          <w:szCs w:val="21"/>
        </w:rPr>
        <w:t>）加入其中，再加几粒沸石颗粒（</w:t>
      </w:r>
      <w:r>
        <w:rPr>
          <w:rFonts w:hint="eastAsia"/>
          <w:szCs w:val="21"/>
        </w:rPr>
        <w:t>5.5</w:t>
      </w:r>
      <w:r>
        <w:rPr>
          <w:rFonts w:hint="eastAsia"/>
          <w:szCs w:val="21"/>
        </w:rPr>
        <w:t>）防爆沸。</w:t>
      </w:r>
    </w:p>
    <w:p w14:paraId="41848E1E" w14:textId="77777777" w:rsidR="0084387C" w:rsidRDefault="00000000">
      <w:pPr>
        <w:ind w:firstLineChars="200" w:firstLine="420"/>
        <w:rPr>
          <w:szCs w:val="21"/>
        </w:rPr>
      </w:pPr>
      <w:r>
        <w:rPr>
          <w:rFonts w:hint="eastAsia"/>
          <w:szCs w:val="21"/>
        </w:rPr>
        <w:t>将经水洗过的水冷式回流冷凝器连接到锥形瓶上，在水浴锅上回流</w:t>
      </w:r>
      <w:r>
        <w:rPr>
          <w:rFonts w:hint="eastAsia"/>
          <w:szCs w:val="21"/>
        </w:rPr>
        <w:t>30min</w:t>
      </w:r>
      <w:r>
        <w:rPr>
          <w:rFonts w:hint="eastAsia"/>
          <w:szCs w:val="21"/>
        </w:rPr>
        <w:t>。刚开始时需小心加热，以避免大量泡沫。</w:t>
      </w:r>
    </w:p>
    <w:p w14:paraId="154CFCD4" w14:textId="77777777" w:rsidR="0084387C" w:rsidRDefault="00000000">
      <w:pPr>
        <w:rPr>
          <w:szCs w:val="21"/>
        </w:rPr>
      </w:pPr>
      <w:r>
        <w:rPr>
          <w:rFonts w:hint="eastAsia"/>
          <w:szCs w:val="21"/>
        </w:rPr>
        <w:t xml:space="preserve">    </w:t>
      </w:r>
      <w:r>
        <w:rPr>
          <w:rFonts w:hint="eastAsia"/>
          <w:szCs w:val="21"/>
        </w:rPr>
        <w:t>回流</w:t>
      </w:r>
      <w:r>
        <w:rPr>
          <w:rFonts w:hint="eastAsia"/>
          <w:szCs w:val="21"/>
        </w:rPr>
        <w:t>30min</w:t>
      </w:r>
      <w:r>
        <w:rPr>
          <w:rFonts w:hint="eastAsia"/>
          <w:szCs w:val="21"/>
        </w:rPr>
        <w:t>后，使其冷却，用至少</w:t>
      </w:r>
      <w:r>
        <w:rPr>
          <w:rFonts w:hint="eastAsia"/>
          <w:szCs w:val="21"/>
        </w:rPr>
        <w:t>5 mL</w:t>
      </w:r>
      <w:r>
        <w:rPr>
          <w:rFonts w:hint="eastAsia"/>
          <w:szCs w:val="21"/>
        </w:rPr>
        <w:t>水从上向下洗涤冷凝器，移开冷凝器，再用少许水洗涤磨口玻璃接头，洗涤水收集在锥形瓶内。</w:t>
      </w:r>
      <w:r>
        <w:rPr>
          <w:rFonts w:hint="eastAsia"/>
          <w:szCs w:val="21"/>
        </w:rPr>
        <w:t xml:space="preserve">  </w:t>
      </w:r>
    </w:p>
    <w:p w14:paraId="458C0205" w14:textId="77777777" w:rsidR="0084387C" w:rsidRDefault="00000000">
      <w:pPr>
        <w:ind w:firstLineChars="200" w:firstLine="420"/>
        <w:rPr>
          <w:szCs w:val="21"/>
        </w:rPr>
      </w:pPr>
      <w:r>
        <w:rPr>
          <w:rFonts w:hint="eastAsia"/>
          <w:szCs w:val="21"/>
        </w:rPr>
        <w:t>加入数滴酚酞指示液，用硫酸溶液（</w:t>
      </w:r>
      <w:r>
        <w:rPr>
          <w:rFonts w:hint="eastAsia"/>
          <w:szCs w:val="21"/>
        </w:rPr>
        <w:t>5.2</w:t>
      </w:r>
      <w:r>
        <w:rPr>
          <w:rFonts w:hint="eastAsia"/>
          <w:szCs w:val="21"/>
        </w:rPr>
        <w:t>）进行中和，刚开始快速加入大部分的硫酸溶液（</w:t>
      </w:r>
      <w:r>
        <w:rPr>
          <w:rFonts w:hint="eastAsia"/>
          <w:szCs w:val="21"/>
        </w:rPr>
        <w:t>5.2</w:t>
      </w:r>
      <w:r>
        <w:rPr>
          <w:rFonts w:hint="eastAsia"/>
          <w:szCs w:val="21"/>
        </w:rPr>
        <w:t>），然后逐滴加入硫酸溶液（</w:t>
      </w:r>
      <w:r>
        <w:rPr>
          <w:rFonts w:hint="eastAsia"/>
          <w:szCs w:val="21"/>
        </w:rPr>
        <w:t>5.3</w:t>
      </w:r>
      <w:r>
        <w:rPr>
          <w:rFonts w:hint="eastAsia"/>
          <w:szCs w:val="21"/>
        </w:rPr>
        <w:t>），直至溶液恰好褪成无色。</w:t>
      </w:r>
    </w:p>
    <w:p w14:paraId="27364BB7" w14:textId="77777777" w:rsidR="0084387C" w:rsidRDefault="00000000">
      <w:pPr>
        <w:rPr>
          <w:szCs w:val="21"/>
        </w:rPr>
      </w:pPr>
      <w:r>
        <w:rPr>
          <w:rFonts w:hint="eastAsia"/>
          <w:szCs w:val="21"/>
        </w:rPr>
        <w:t xml:space="preserve">    </w:t>
      </w:r>
      <w:r>
        <w:rPr>
          <w:rFonts w:hint="eastAsia"/>
          <w:szCs w:val="21"/>
        </w:rPr>
        <w:t>接着加入</w:t>
      </w:r>
      <w:r>
        <w:rPr>
          <w:rFonts w:hint="eastAsia"/>
          <w:szCs w:val="21"/>
        </w:rPr>
        <w:t>15 mL</w:t>
      </w:r>
      <w:r>
        <w:rPr>
          <w:rFonts w:hint="eastAsia"/>
          <w:szCs w:val="21"/>
        </w:rPr>
        <w:t>三氯甲烷（</w:t>
      </w:r>
      <w:r>
        <w:rPr>
          <w:rFonts w:hint="eastAsia"/>
          <w:szCs w:val="21"/>
        </w:rPr>
        <w:t>5.6</w:t>
      </w:r>
      <w:r>
        <w:rPr>
          <w:rFonts w:hint="eastAsia"/>
          <w:szCs w:val="21"/>
        </w:rPr>
        <w:t>）和</w:t>
      </w:r>
      <w:r>
        <w:rPr>
          <w:rFonts w:hint="eastAsia"/>
          <w:szCs w:val="21"/>
        </w:rPr>
        <w:t>l0 mL</w:t>
      </w:r>
      <w:r>
        <w:rPr>
          <w:rFonts w:hint="eastAsia"/>
          <w:szCs w:val="21"/>
        </w:rPr>
        <w:t>酸性混合指示剂溶液（</w:t>
      </w:r>
      <w:r>
        <w:rPr>
          <w:rFonts w:hint="eastAsia"/>
          <w:szCs w:val="21"/>
        </w:rPr>
        <w:t>5.7</w:t>
      </w:r>
      <w:r>
        <w:rPr>
          <w:rFonts w:hint="eastAsia"/>
          <w:szCs w:val="21"/>
        </w:rPr>
        <w:t>）至锥形瓶中，塞紧玻塞，并充分摇匀。然后按</w:t>
      </w:r>
      <w:r>
        <w:rPr>
          <w:rFonts w:hint="eastAsia"/>
          <w:szCs w:val="21"/>
        </w:rPr>
        <w:t>GB/T 5173</w:t>
      </w:r>
      <w:r>
        <w:rPr>
          <w:rFonts w:hint="eastAsia"/>
          <w:szCs w:val="21"/>
        </w:rPr>
        <w:t>中</w:t>
      </w:r>
      <w:r>
        <w:rPr>
          <w:rFonts w:hint="eastAsia"/>
          <w:szCs w:val="21"/>
        </w:rPr>
        <w:t>7.2</w:t>
      </w:r>
      <w:r>
        <w:rPr>
          <w:rFonts w:hint="eastAsia"/>
          <w:szCs w:val="21"/>
        </w:rPr>
        <w:t>以氯化苄苏</w:t>
      </w:r>
      <w:r>
        <w:rPr>
          <w:rFonts w:ascii="宋体" w:hAnsi="宋体" w:hint="eastAsia"/>
          <w:szCs w:val="21"/>
        </w:rPr>
        <w:t>鎓标准滴定</w:t>
      </w:r>
      <w:r>
        <w:rPr>
          <w:rFonts w:hint="eastAsia"/>
          <w:szCs w:val="21"/>
        </w:rPr>
        <w:t>溶液（</w:t>
      </w:r>
      <w:r>
        <w:rPr>
          <w:rFonts w:hint="eastAsia"/>
          <w:szCs w:val="21"/>
        </w:rPr>
        <w:t>5.8</w:t>
      </w:r>
      <w:r>
        <w:rPr>
          <w:rFonts w:hint="eastAsia"/>
          <w:szCs w:val="21"/>
        </w:rPr>
        <w:t>）进行滴定，直至三氯甲烷层的粉红色完全褪去，呈淡灰蓝色为终点。</w:t>
      </w:r>
    </w:p>
    <w:p w14:paraId="69037369" w14:textId="77777777" w:rsidR="0084387C" w:rsidRDefault="00000000">
      <w:pPr>
        <w:pStyle w:val="a1"/>
        <w:numPr>
          <w:ilvl w:val="1"/>
          <w:numId w:val="0"/>
        </w:numPr>
        <w:spacing w:before="156" w:after="156"/>
      </w:pPr>
      <w:r>
        <w:rPr>
          <w:rFonts w:hint="eastAsia"/>
        </w:rPr>
        <w:t>8  结果表示</w:t>
      </w:r>
    </w:p>
    <w:p w14:paraId="446F6B5F" w14:textId="77777777" w:rsidR="0084387C" w:rsidRDefault="00000000">
      <w:pPr>
        <w:rPr>
          <w:szCs w:val="21"/>
        </w:rPr>
      </w:pPr>
      <w:r>
        <w:rPr>
          <w:szCs w:val="21"/>
        </w:rPr>
        <w:t>8</w:t>
      </w:r>
      <w:r>
        <w:rPr>
          <w:rFonts w:hint="eastAsia"/>
          <w:szCs w:val="21"/>
        </w:rPr>
        <w:t xml:space="preserve">.1 </w:t>
      </w:r>
      <w:r>
        <w:rPr>
          <w:rFonts w:hint="eastAsia"/>
          <w:szCs w:val="21"/>
        </w:rPr>
        <w:t>计算</w:t>
      </w:r>
    </w:p>
    <w:p w14:paraId="0176E864" w14:textId="77777777" w:rsidR="0084387C" w:rsidRDefault="00000000">
      <w:pPr>
        <w:rPr>
          <w:szCs w:val="21"/>
        </w:rPr>
      </w:pPr>
      <w:r>
        <w:rPr>
          <w:szCs w:val="21"/>
        </w:rPr>
        <w:t>8</w:t>
      </w:r>
      <w:r>
        <w:rPr>
          <w:rFonts w:hint="eastAsia"/>
          <w:szCs w:val="21"/>
        </w:rPr>
        <w:t xml:space="preserve">.1.1 </w:t>
      </w:r>
      <w:r>
        <w:rPr>
          <w:rFonts w:hint="eastAsia"/>
          <w:szCs w:val="21"/>
        </w:rPr>
        <w:t>在碱性条件下可水解阴离子活性物的含量，以质量百分数</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1</m:t>
            </m:r>
          </m:sub>
        </m:sSub>
      </m:oMath>
      <w:r>
        <w:rPr>
          <w:rFonts w:hint="eastAsia"/>
          <w:szCs w:val="21"/>
        </w:rPr>
        <w:t>表示，按式（</w:t>
      </w:r>
      <w:r>
        <w:rPr>
          <w:rFonts w:hint="eastAsia"/>
          <w:szCs w:val="21"/>
        </w:rPr>
        <w:t>1</w:t>
      </w:r>
      <w:r>
        <w:rPr>
          <w:rFonts w:hint="eastAsia"/>
          <w:szCs w:val="21"/>
        </w:rPr>
        <w:t>）计算：</w:t>
      </w:r>
    </w:p>
    <w:p w14:paraId="49BE05BE" w14:textId="77777777" w:rsidR="0084387C" w:rsidRDefault="00000000">
      <w:pPr>
        <w:jc w:val="left"/>
        <w:rPr>
          <w:szCs w:val="21"/>
        </w:rPr>
      </w:pPr>
      <w:r>
        <w:rPr>
          <w:rFonts w:hAnsi="DejaVu Math TeX Gyre" w:hint="eastAsia"/>
          <w:iCs/>
          <w:szCs w:val="21"/>
        </w:rPr>
        <w:t xml:space="preserve">                          </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1</m:t>
            </m:r>
          </m:sub>
        </m:sSub>
        <m:r>
          <m:rPr>
            <m:sty m:val="p"/>
          </m:rPr>
          <w:rPr>
            <w:rFonts w:ascii="DejaVu Math TeX Gyre" w:hAnsi="DejaVu Math TeX Gyre"/>
            <w:szCs w:val="21"/>
          </w:rPr>
          <m:t>(%)=</m:t>
        </m:r>
        <m:f>
          <m:fPr>
            <m:ctrlPr>
              <w:rPr>
                <w:rFonts w:ascii="DejaVu Math TeX Gyre" w:hAnsi="DejaVu Math TeX Gyre"/>
                <w:iCs/>
                <w:szCs w:val="21"/>
              </w:rPr>
            </m:ctrlPr>
          </m:fPr>
          <m:num>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0</m:t>
                </m:r>
              </m:sub>
            </m:sSub>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m:t>
            </m:r>
            <m:r>
              <m:rPr>
                <m:sty m:val="p"/>
              </m:rPr>
              <w:rPr>
                <w:rFonts w:ascii="DejaVu Math TeX Gyre" w:hAnsi="DejaVu Math TeX Gyre"/>
                <w:szCs w:val="21"/>
              </w:rPr>
              <m:t>500</m:t>
            </m:r>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1</m:t>
                </m:r>
              </m:sub>
            </m:sSub>
            <m:r>
              <m:rPr>
                <m:sty m:val="p"/>
              </m:rPr>
              <w:rPr>
                <w:rFonts w:ascii="DejaVu Math TeX Gyre" w:hAnsi="DejaVu Math TeX Gyre"/>
                <w:szCs w:val="21"/>
              </w:rPr>
              <m:t>×100</m:t>
            </m:r>
          </m:num>
          <m:den>
            <m:r>
              <m:rPr>
                <m:sty m:val="p"/>
              </m:rPr>
              <w:rPr>
                <w:rFonts w:ascii="DejaVu Math TeX Gyre" w:hAnsi="DejaVu Math TeX Gyre"/>
                <w:szCs w:val="21"/>
              </w:rPr>
              <m:t>1000</m:t>
            </m:r>
            <m:r>
              <m:rPr>
                <m:sty m:val="p"/>
              </m:rPr>
              <w:rPr>
                <w:rFonts w:ascii="DejaVu Math TeX Gyre" w:hAnsi="DejaVu Math TeX Gyre" w:cs="Arial"/>
                <w:szCs w:val="21"/>
              </w:rPr>
              <m:t>×</m:t>
            </m:r>
            <m:r>
              <m:rPr>
                <m:sty m:val="p"/>
              </m:rPr>
              <w:rPr>
                <w:rFonts w:ascii="DejaVu Math TeX Gyre" w:hAnsi="DejaVu Math TeX Gyre"/>
                <w:szCs w:val="21"/>
              </w:rPr>
              <m:t>25</m:t>
            </m:r>
            <m:r>
              <m:rPr>
                <m:sty m:val="p"/>
              </m:rPr>
              <w:rPr>
                <w:rFonts w:ascii="DejaVu Math TeX Gyre" w:hAnsi="DejaVu Math TeX Gyre" w:cs="Arial"/>
                <w:szCs w:val="21"/>
              </w:rPr>
              <m:t>×</m:t>
            </m:r>
            <m:r>
              <w:rPr>
                <w:rFonts w:ascii="DejaVu Math TeX Gyre" w:hAnsi="DejaVu Math TeX Gyre"/>
                <w:szCs w:val="21"/>
              </w:rPr>
              <m:t>m</m:t>
            </m:r>
          </m:den>
        </m:f>
        <m:r>
          <m:rPr>
            <m:sty m:val="p"/>
          </m:rPr>
          <w:rPr>
            <w:rFonts w:ascii="DejaVu Math TeX Gyre" w:hAnsi="DejaVu Math TeX Gyre"/>
            <w:szCs w:val="21"/>
          </w:rPr>
          <m:t>=</m:t>
        </m:r>
        <m:f>
          <m:fPr>
            <m:ctrlPr>
              <w:rPr>
                <w:rFonts w:ascii="DejaVu Math TeX Gyre" w:hAnsi="DejaVu Math TeX Gyre"/>
                <w:iCs/>
                <w:szCs w:val="21"/>
              </w:rPr>
            </m:ctrlPr>
          </m:fPr>
          <m:num>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0</m:t>
                </m:r>
              </m:sub>
            </m:sSub>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1</m:t>
                </m:r>
              </m:sub>
            </m:sSub>
            <m:r>
              <m:rPr>
                <m:sty m:val="p"/>
              </m:rPr>
              <w:rPr>
                <w:rFonts w:ascii="DejaVu Math TeX Gyre" w:hAnsi="DejaVu Math TeX Gyre"/>
                <w:szCs w:val="21"/>
              </w:rPr>
              <m:t>×2</m:t>
            </m:r>
          </m:num>
          <m:den>
            <m:r>
              <w:rPr>
                <w:rFonts w:ascii="DejaVu Math TeX Gyre" w:hAnsi="DejaVu Math TeX Gyre"/>
                <w:szCs w:val="21"/>
              </w:rPr>
              <m:t>m</m:t>
            </m:r>
          </m:den>
        </m:f>
      </m:oMath>
      <w:r>
        <w:rPr>
          <w:rFonts w:hAnsi="DejaVu Math TeX Gyre" w:hint="eastAsia"/>
          <w:iCs/>
          <w:szCs w:val="21"/>
        </w:rPr>
        <w:t xml:space="preserve">   </w:t>
      </w:r>
      <w:r>
        <w:rPr>
          <w:szCs w:val="21"/>
        </w:rPr>
        <w:t>……………</w:t>
      </w:r>
      <w:r>
        <w:rPr>
          <w:rFonts w:hint="eastAsia"/>
          <w:szCs w:val="21"/>
        </w:rPr>
        <w:t>（</w:t>
      </w:r>
      <w:r>
        <w:rPr>
          <w:rFonts w:hint="eastAsia"/>
          <w:szCs w:val="21"/>
        </w:rPr>
        <w:t>1</w:t>
      </w:r>
      <w:r>
        <w:rPr>
          <w:rFonts w:hint="eastAsia"/>
          <w:szCs w:val="21"/>
        </w:rPr>
        <w:t>）</w:t>
      </w:r>
    </w:p>
    <w:p w14:paraId="19EF1375" w14:textId="77777777" w:rsidR="0084387C" w:rsidRDefault="00000000">
      <w:pPr>
        <w:ind w:firstLineChars="200" w:firstLine="420"/>
        <w:rPr>
          <w:szCs w:val="21"/>
        </w:rPr>
      </w:pPr>
      <w:r>
        <w:rPr>
          <w:rFonts w:hint="eastAsia"/>
          <w:szCs w:val="21"/>
        </w:rPr>
        <w:t>在碱性条件下可水解阴离子活性物的含量若以毫摩尔每克（</w:t>
      </w:r>
      <w:r>
        <w:rPr>
          <w:rFonts w:hint="eastAsia"/>
          <w:szCs w:val="21"/>
        </w:rPr>
        <w:t>mmol/g</w:t>
      </w:r>
      <w:r>
        <w:rPr>
          <w:rFonts w:hint="eastAsia"/>
          <w:szCs w:val="21"/>
        </w:rPr>
        <w:t>）表示，按式（</w:t>
      </w:r>
      <w:r>
        <w:rPr>
          <w:rFonts w:hint="eastAsia"/>
          <w:szCs w:val="21"/>
        </w:rPr>
        <w:t>2</w:t>
      </w:r>
      <w:r>
        <w:rPr>
          <w:rFonts w:hint="eastAsia"/>
          <w:szCs w:val="21"/>
        </w:rPr>
        <w:t>）计算：</w:t>
      </w:r>
    </w:p>
    <w:p w14:paraId="03CA2EBF" w14:textId="77777777" w:rsidR="0084387C" w:rsidRDefault="00000000">
      <w:pPr>
        <w:ind w:firstLine="570"/>
        <w:jc w:val="center"/>
        <w:rPr>
          <w:szCs w:val="21"/>
        </w:rPr>
      </w:pPr>
      <w:r>
        <w:rPr>
          <w:rFonts w:hAnsi="DejaVu Math TeX Gyre" w:hint="eastAsia"/>
          <w:szCs w:val="21"/>
        </w:rPr>
        <w:t xml:space="preserve">                    </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1</m:t>
            </m:r>
          </m:sub>
        </m:sSub>
        <m:r>
          <m:rPr>
            <m:sty m:val="p"/>
          </m:rPr>
          <w:rPr>
            <w:rFonts w:ascii="DejaVu Math TeX Gyre" w:hAnsi="DejaVu Math TeX Gyre"/>
            <w:szCs w:val="21"/>
          </w:rPr>
          <m:t>=</m:t>
        </m:r>
        <m:f>
          <m:fPr>
            <m:ctrlPr>
              <w:rPr>
                <w:rFonts w:ascii="DejaVu Math TeX Gyre" w:hAnsi="DejaVu Math TeX Gyre"/>
                <w:iCs/>
                <w:szCs w:val="21"/>
              </w:rPr>
            </m:ctrlPr>
          </m:fPr>
          <m:num>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0</m:t>
                </m:r>
              </m:sub>
            </m:sSub>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×500</m:t>
            </m:r>
          </m:num>
          <m:den>
            <m:r>
              <m:rPr>
                <m:sty m:val="p"/>
              </m:rPr>
              <w:rPr>
                <w:rFonts w:ascii="DejaVu Math TeX Gyre" w:hAnsi="DejaVu Math TeX Gyre"/>
                <w:szCs w:val="21"/>
              </w:rPr>
              <m:t>25</m:t>
            </m:r>
            <m:r>
              <m:rPr>
                <m:sty m:val="p"/>
              </m:rPr>
              <w:rPr>
                <w:rFonts w:ascii="DejaVu Math TeX Gyre" w:hAnsi="DejaVu Math TeX Gyre" w:cs="Arial"/>
                <w:szCs w:val="21"/>
              </w:rPr>
              <m:t>×</m:t>
            </m:r>
            <m:r>
              <w:rPr>
                <w:rFonts w:ascii="DejaVu Math TeX Gyre" w:hAnsi="DejaVu Math TeX Gyre"/>
                <w:szCs w:val="21"/>
              </w:rPr>
              <m:t>m</m:t>
            </m:r>
          </m:den>
        </m:f>
        <m:r>
          <m:rPr>
            <m:sty m:val="p"/>
          </m:rPr>
          <w:rPr>
            <w:rFonts w:ascii="DejaVu Math TeX Gyre" w:hAnsi="DejaVu Math TeX Gyre"/>
            <w:szCs w:val="21"/>
          </w:rPr>
          <m:t>=</m:t>
        </m:r>
        <m:f>
          <m:fPr>
            <m:ctrlPr>
              <w:rPr>
                <w:rFonts w:ascii="DejaVu Math TeX Gyre" w:hAnsi="DejaVu Math TeX Gyre"/>
                <w:iCs/>
                <w:szCs w:val="21"/>
              </w:rPr>
            </m:ctrlPr>
          </m:fPr>
          <m:num>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0</m:t>
                </m:r>
              </m:sub>
            </m:sSub>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×20</m:t>
            </m:r>
          </m:num>
          <m:den>
            <m:r>
              <w:rPr>
                <w:rFonts w:ascii="DejaVu Math TeX Gyre" w:hAnsi="DejaVu Math TeX Gyre"/>
                <w:szCs w:val="21"/>
              </w:rPr>
              <m:t>m</m:t>
            </m:r>
          </m:den>
        </m:f>
      </m:oMath>
      <w:r>
        <w:rPr>
          <w:rFonts w:hint="eastAsia"/>
          <w:szCs w:val="21"/>
        </w:rPr>
        <w:t xml:space="preserve">                 </w:t>
      </w:r>
      <w:r>
        <w:rPr>
          <w:szCs w:val="21"/>
        </w:rPr>
        <w:t>……………</w:t>
      </w:r>
      <w:r>
        <w:rPr>
          <w:rFonts w:hint="eastAsia"/>
          <w:szCs w:val="21"/>
        </w:rPr>
        <w:t>（</w:t>
      </w:r>
      <w:r>
        <w:rPr>
          <w:rFonts w:hint="eastAsia"/>
          <w:szCs w:val="21"/>
        </w:rPr>
        <w:t>2</w:t>
      </w:r>
      <w:r>
        <w:rPr>
          <w:rFonts w:hint="eastAsia"/>
          <w:szCs w:val="21"/>
        </w:rPr>
        <w:t>）</w:t>
      </w:r>
    </w:p>
    <w:p w14:paraId="7E70148C" w14:textId="77777777" w:rsidR="0084387C" w:rsidRDefault="00000000">
      <w:pPr>
        <w:ind w:firstLineChars="200" w:firstLine="420"/>
        <w:rPr>
          <w:szCs w:val="21"/>
        </w:rPr>
      </w:pPr>
      <w:r>
        <w:rPr>
          <w:rFonts w:hint="eastAsia"/>
          <w:szCs w:val="21"/>
        </w:rPr>
        <w:t>式中：</w:t>
      </w:r>
    </w:p>
    <w:p w14:paraId="2CD143C9" w14:textId="77777777" w:rsidR="0084387C" w:rsidRDefault="00000000">
      <w:pPr>
        <w:ind w:firstLineChars="200" w:firstLine="420"/>
        <w:rPr>
          <w:szCs w:val="21"/>
        </w:rPr>
      </w:pPr>
      <m:oMath>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1</m:t>
            </m:r>
          </m:sub>
        </m:sSub>
      </m:oMath>
      <w:r>
        <w:rPr>
          <w:rFonts w:hint="eastAsia"/>
          <w:color w:val="000000"/>
        </w:rPr>
        <w:t>——</w:t>
      </w:r>
      <w:r>
        <w:rPr>
          <w:rFonts w:hint="eastAsia"/>
          <w:szCs w:val="21"/>
        </w:rPr>
        <w:t>在碱性条件下，可水解阴离子活性物的平均相对分子质量；</w:t>
      </w:r>
    </w:p>
    <w:p w14:paraId="7322327C" w14:textId="77777777" w:rsidR="0084387C" w:rsidRDefault="00000000">
      <w:pPr>
        <w:ind w:firstLineChars="200" w:firstLine="420"/>
        <w:rPr>
          <w:szCs w:val="21"/>
        </w:rPr>
      </w:pPr>
      <m:oMath>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2</m:t>
            </m:r>
          </m:sub>
        </m:sSub>
      </m:oMath>
      <w:r>
        <w:rPr>
          <w:rFonts w:hint="eastAsia"/>
          <w:color w:val="000000"/>
        </w:rPr>
        <w:t>——</w:t>
      </w:r>
      <w:r>
        <w:rPr>
          <w:rFonts w:hint="eastAsia"/>
          <w:szCs w:val="21"/>
        </w:rPr>
        <w:t>在碱性条件下，不可水解阴离子活性物的平均相对分子质量；</w:t>
      </w:r>
    </w:p>
    <w:p w14:paraId="01F7AF4B" w14:textId="77777777" w:rsidR="0084387C" w:rsidRDefault="00000000">
      <w:pPr>
        <w:ind w:firstLineChars="200" w:firstLine="420"/>
        <w:rPr>
          <w:szCs w:val="21"/>
        </w:rPr>
      </w:pPr>
      <m:oMath>
        <m:r>
          <w:rPr>
            <w:rFonts w:ascii="DejaVu Math TeX Gyre" w:hAnsi="DejaVu Math TeX Gyre"/>
            <w:szCs w:val="21"/>
          </w:rPr>
          <m:t>c</m:t>
        </m:r>
      </m:oMath>
      <w:r>
        <w:rPr>
          <w:rFonts w:hint="eastAsia"/>
          <w:color w:val="000000"/>
        </w:rPr>
        <w:t>——</w:t>
      </w:r>
      <w:r>
        <w:rPr>
          <w:rFonts w:hint="eastAsia"/>
          <w:szCs w:val="21"/>
        </w:rPr>
        <w:t>氯化苄苏</w:t>
      </w:r>
      <w:r>
        <w:rPr>
          <w:rFonts w:ascii="宋体" w:hAnsi="宋体" w:hint="eastAsia"/>
          <w:szCs w:val="21"/>
        </w:rPr>
        <w:t>鎓标准滴定</w:t>
      </w:r>
      <w:r>
        <w:rPr>
          <w:rFonts w:hint="eastAsia"/>
          <w:szCs w:val="21"/>
        </w:rPr>
        <w:t>溶液（</w:t>
      </w:r>
      <w:r>
        <w:rPr>
          <w:rFonts w:hint="eastAsia"/>
          <w:szCs w:val="21"/>
        </w:rPr>
        <w:t>4.8</w:t>
      </w:r>
      <w:r>
        <w:rPr>
          <w:rFonts w:hint="eastAsia"/>
          <w:szCs w:val="21"/>
        </w:rPr>
        <w:t>）的浓度，单位为摩尔每升（</w:t>
      </w:r>
      <w:r>
        <w:rPr>
          <w:rFonts w:hint="eastAsia"/>
          <w:szCs w:val="21"/>
        </w:rPr>
        <w:t>mol/L</w:t>
      </w:r>
      <w:r>
        <w:rPr>
          <w:rFonts w:hint="eastAsia"/>
          <w:szCs w:val="21"/>
        </w:rPr>
        <w:t>）；</w:t>
      </w:r>
    </w:p>
    <w:p w14:paraId="160C879F" w14:textId="77777777" w:rsidR="0084387C" w:rsidRDefault="00000000">
      <w:pPr>
        <w:ind w:firstLineChars="200" w:firstLine="420"/>
        <w:rPr>
          <w:szCs w:val="21"/>
        </w:rPr>
      </w:pPr>
      <m:oMath>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0</m:t>
            </m:r>
          </m:sub>
        </m:sSub>
      </m:oMath>
      <w:r>
        <w:rPr>
          <w:rFonts w:hint="eastAsia"/>
          <w:color w:val="000000"/>
        </w:rPr>
        <w:t>——</w:t>
      </w:r>
      <w:r>
        <w:rPr>
          <w:rFonts w:hint="eastAsia"/>
          <w:szCs w:val="21"/>
        </w:rPr>
        <w:t>用于滴定总阴离子活性物的氯化苄苏</w:t>
      </w:r>
      <w:r>
        <w:rPr>
          <w:rFonts w:ascii="宋体" w:hAnsi="宋体" w:hint="eastAsia"/>
          <w:szCs w:val="21"/>
        </w:rPr>
        <w:t>鎓标准滴定</w:t>
      </w:r>
      <w:r>
        <w:rPr>
          <w:rFonts w:hint="eastAsia"/>
          <w:szCs w:val="21"/>
        </w:rPr>
        <w:t>溶液（</w:t>
      </w:r>
      <w:r>
        <w:rPr>
          <w:rFonts w:hint="eastAsia"/>
          <w:szCs w:val="21"/>
        </w:rPr>
        <w:t>4.8</w:t>
      </w:r>
      <w:r>
        <w:rPr>
          <w:rFonts w:hint="eastAsia"/>
          <w:szCs w:val="21"/>
        </w:rPr>
        <w:t>）的体积，单位为毫升（</w:t>
      </w:r>
      <w:r>
        <w:rPr>
          <w:rFonts w:hint="eastAsia"/>
          <w:szCs w:val="21"/>
        </w:rPr>
        <w:t>mL</w:t>
      </w:r>
      <w:r>
        <w:rPr>
          <w:rFonts w:hint="eastAsia"/>
          <w:szCs w:val="21"/>
        </w:rPr>
        <w:t>）；</w:t>
      </w:r>
    </w:p>
    <w:p w14:paraId="79BB9B27" w14:textId="77777777" w:rsidR="0084387C" w:rsidRDefault="00000000">
      <w:pPr>
        <w:ind w:firstLineChars="200" w:firstLine="420"/>
        <w:rPr>
          <w:szCs w:val="21"/>
        </w:rPr>
      </w:pPr>
      <m:oMath>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oMath>
      <w:r>
        <w:rPr>
          <w:rFonts w:hint="eastAsia"/>
          <w:color w:val="000000"/>
        </w:rPr>
        <w:t>——</w:t>
      </w:r>
      <w:r>
        <w:rPr>
          <w:rFonts w:hint="eastAsia"/>
          <w:szCs w:val="21"/>
        </w:rPr>
        <w:t>用于滴定碱水解后阴离子活性物的氯化苄苏</w:t>
      </w:r>
      <w:r>
        <w:rPr>
          <w:rFonts w:ascii="宋体" w:hAnsi="宋体" w:hint="eastAsia"/>
          <w:szCs w:val="21"/>
        </w:rPr>
        <w:t>鎓标准滴定</w:t>
      </w:r>
      <w:r>
        <w:rPr>
          <w:rFonts w:hint="eastAsia"/>
          <w:szCs w:val="21"/>
        </w:rPr>
        <w:t>溶液（</w:t>
      </w:r>
      <w:r>
        <w:rPr>
          <w:rFonts w:hint="eastAsia"/>
          <w:szCs w:val="21"/>
        </w:rPr>
        <w:t>4.8</w:t>
      </w:r>
      <w:r>
        <w:rPr>
          <w:rFonts w:hint="eastAsia"/>
          <w:szCs w:val="21"/>
        </w:rPr>
        <w:t>）的体积，单位为毫升（</w:t>
      </w:r>
      <w:r>
        <w:rPr>
          <w:rFonts w:hint="eastAsia"/>
          <w:szCs w:val="21"/>
        </w:rPr>
        <w:t>mL</w:t>
      </w:r>
      <w:r>
        <w:rPr>
          <w:rFonts w:hint="eastAsia"/>
          <w:szCs w:val="21"/>
        </w:rPr>
        <w:t>）；</w:t>
      </w:r>
    </w:p>
    <w:p w14:paraId="2D3C2772" w14:textId="77777777" w:rsidR="0084387C" w:rsidRDefault="00000000">
      <w:pPr>
        <w:ind w:firstLineChars="200" w:firstLine="420"/>
        <w:rPr>
          <w:szCs w:val="21"/>
        </w:rPr>
      </w:pPr>
      <m:oMath>
        <m:r>
          <w:rPr>
            <w:rFonts w:ascii="DejaVu Math TeX Gyre" w:hAnsi="DejaVu Math TeX Gyre"/>
            <w:szCs w:val="21"/>
          </w:rPr>
          <m:t>m</m:t>
        </m:r>
      </m:oMath>
      <w:r>
        <w:rPr>
          <w:rFonts w:hint="eastAsia"/>
          <w:color w:val="000000"/>
        </w:rPr>
        <w:t>——</w:t>
      </w:r>
      <w:r>
        <w:rPr>
          <w:rFonts w:hint="eastAsia"/>
          <w:szCs w:val="21"/>
        </w:rPr>
        <w:t>试验份的质量，单位为克（</w:t>
      </w:r>
      <w:r>
        <w:rPr>
          <w:rFonts w:hint="eastAsia"/>
          <w:szCs w:val="21"/>
        </w:rPr>
        <w:t>g</w:t>
      </w:r>
      <w:r>
        <w:rPr>
          <w:rFonts w:hint="eastAsia"/>
          <w:szCs w:val="21"/>
        </w:rPr>
        <w:t>）。</w:t>
      </w:r>
    </w:p>
    <w:p w14:paraId="77C2190D" w14:textId="77777777" w:rsidR="0084387C" w:rsidRDefault="0084387C">
      <w:pPr>
        <w:ind w:firstLine="570"/>
        <w:jc w:val="left"/>
        <w:rPr>
          <w:szCs w:val="21"/>
        </w:rPr>
      </w:pPr>
    </w:p>
    <w:p w14:paraId="6C48035A" w14:textId="77777777" w:rsidR="0084387C" w:rsidRDefault="00000000">
      <w:pPr>
        <w:rPr>
          <w:szCs w:val="21"/>
        </w:rPr>
      </w:pPr>
      <w:r>
        <w:rPr>
          <w:szCs w:val="21"/>
        </w:rPr>
        <w:t>8</w:t>
      </w:r>
      <w:r>
        <w:rPr>
          <w:rFonts w:hint="eastAsia"/>
          <w:szCs w:val="21"/>
        </w:rPr>
        <w:t xml:space="preserve">.1.2 </w:t>
      </w:r>
      <w:r>
        <w:rPr>
          <w:rFonts w:hint="eastAsia"/>
          <w:szCs w:val="21"/>
        </w:rPr>
        <w:t>在碱性条件下不可水解阴离子活性物含量，以质量百分数</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2</m:t>
            </m:r>
          </m:sub>
        </m:sSub>
      </m:oMath>
      <w:r>
        <w:rPr>
          <w:rFonts w:hint="eastAsia"/>
          <w:szCs w:val="21"/>
        </w:rPr>
        <w:t>表示，按式（</w:t>
      </w:r>
      <w:r>
        <w:rPr>
          <w:rFonts w:hint="eastAsia"/>
          <w:szCs w:val="21"/>
        </w:rPr>
        <w:t>3</w:t>
      </w:r>
      <w:r>
        <w:rPr>
          <w:rFonts w:hint="eastAsia"/>
          <w:szCs w:val="21"/>
        </w:rPr>
        <w:t>）计算：</w:t>
      </w:r>
    </w:p>
    <w:p w14:paraId="21B588CF" w14:textId="77777777" w:rsidR="0084387C" w:rsidRDefault="00000000">
      <w:pPr>
        <w:ind w:leftChars="200" w:left="420" w:firstLineChars="100" w:firstLine="210"/>
        <w:rPr>
          <w:szCs w:val="21"/>
        </w:rPr>
      </w:pPr>
      <w:r>
        <w:rPr>
          <w:rFonts w:hAnsi="DejaVu Math TeX Gyre" w:hint="eastAsia"/>
          <w:szCs w:val="21"/>
        </w:rPr>
        <w:t xml:space="preserve">                   </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2</m:t>
            </m:r>
          </m:sub>
        </m:sSub>
        <m:r>
          <m:rPr>
            <m:sty m:val="p"/>
          </m:rPr>
          <w:rPr>
            <w:rFonts w:ascii="DejaVu Math TeX Gyre" w:hAnsi="DejaVu Math TeX Gyre"/>
            <w:szCs w:val="21"/>
          </w:rPr>
          <m:t>(%)=</m:t>
        </m:r>
        <m:f>
          <m:fPr>
            <m:ctrlPr>
              <w:rPr>
                <w:rFonts w:ascii="DejaVu Math TeX Gyre" w:hAnsi="DejaVu Math TeX Gyre"/>
                <w:iCs/>
                <w:szCs w:val="21"/>
              </w:rPr>
            </m:ctrlPr>
          </m:fPr>
          <m:num>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×500×</m:t>
            </m:r>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2</m:t>
                </m:r>
              </m:sub>
            </m:sSub>
            <m:r>
              <m:rPr>
                <m:sty m:val="p"/>
              </m:rPr>
              <w:rPr>
                <w:rFonts w:ascii="DejaVu Math TeX Gyre" w:hAnsi="DejaVu Math TeX Gyre"/>
                <w:szCs w:val="21"/>
              </w:rPr>
              <m:t>×100</m:t>
            </m:r>
          </m:num>
          <m:den>
            <m:r>
              <m:rPr>
                <m:sty m:val="p"/>
              </m:rPr>
              <w:rPr>
                <w:rFonts w:ascii="DejaVu Math TeX Gyre" w:hAnsi="DejaVu Math TeX Gyre"/>
                <w:szCs w:val="21"/>
              </w:rPr>
              <m:t>1000</m:t>
            </m:r>
            <m:r>
              <m:rPr>
                <m:sty m:val="p"/>
              </m:rPr>
              <w:rPr>
                <w:rFonts w:ascii="DejaVu Math TeX Gyre" w:hAnsi="DejaVu Math TeX Gyre" w:cs="Arial"/>
                <w:szCs w:val="21"/>
              </w:rPr>
              <m:t>×</m:t>
            </m:r>
            <m:r>
              <m:rPr>
                <m:sty m:val="p"/>
              </m:rPr>
              <w:rPr>
                <w:rFonts w:ascii="DejaVu Math TeX Gyre" w:hAnsi="DejaVu Math TeX Gyre"/>
                <w:szCs w:val="21"/>
              </w:rPr>
              <m:t>25</m:t>
            </m:r>
            <m:r>
              <m:rPr>
                <m:sty m:val="p"/>
              </m:rPr>
              <w:rPr>
                <w:rFonts w:ascii="DejaVu Math TeX Gyre" w:hAnsi="DejaVu Math TeX Gyre" w:cs="Arial"/>
                <w:szCs w:val="21"/>
              </w:rPr>
              <m:t>×</m:t>
            </m:r>
            <m:r>
              <w:rPr>
                <w:rFonts w:ascii="DejaVu Math TeX Gyre" w:hAnsi="DejaVu Math TeX Gyre"/>
                <w:szCs w:val="21"/>
              </w:rPr>
              <m:t>m</m:t>
            </m:r>
          </m:den>
        </m:f>
        <m:r>
          <m:rPr>
            <m:sty m:val="p"/>
          </m:rPr>
          <w:rPr>
            <w:rFonts w:ascii="DejaVu Math TeX Gyre" w:hAnsi="DejaVu Math TeX Gyre"/>
            <w:szCs w:val="21"/>
          </w:rPr>
          <m:t>=</m:t>
        </m:r>
        <m:f>
          <m:fPr>
            <m:ctrlPr>
              <w:rPr>
                <w:rFonts w:ascii="DejaVu Math TeX Gyre" w:hAnsi="DejaVu Math TeX Gyre"/>
                <w:iCs/>
                <w:szCs w:val="21"/>
              </w:rPr>
            </m:ctrlPr>
          </m:fPr>
          <m:num>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m:t>
            </m:r>
            <m:sSub>
              <m:sSubPr>
                <m:ctrlPr>
                  <w:rPr>
                    <w:rFonts w:ascii="DejaVu Math TeX Gyre" w:hAnsi="DejaVu Math TeX Gyre"/>
                    <w:iCs/>
                    <w:szCs w:val="21"/>
                  </w:rPr>
                </m:ctrlPr>
              </m:sSubPr>
              <m:e>
                <m:r>
                  <w:rPr>
                    <w:rFonts w:ascii="DejaVu Math TeX Gyre" w:hAnsi="DejaVu Math TeX Gyre"/>
                    <w:szCs w:val="21"/>
                  </w:rPr>
                  <m:t>M</m:t>
                </m:r>
              </m:e>
              <m:sub>
                <m:r>
                  <m:rPr>
                    <m:sty m:val="p"/>
                  </m:rPr>
                  <w:rPr>
                    <w:rFonts w:ascii="DejaVu Math TeX Gyre" w:hAnsi="DejaVu Math TeX Gyre"/>
                    <w:szCs w:val="21"/>
                  </w:rPr>
                  <m:t>2</m:t>
                </m:r>
              </m:sub>
            </m:sSub>
            <m:r>
              <m:rPr>
                <m:sty m:val="p"/>
              </m:rPr>
              <w:rPr>
                <w:rFonts w:ascii="DejaVu Math TeX Gyre" w:hAnsi="DejaVu Math TeX Gyre"/>
                <w:szCs w:val="21"/>
              </w:rPr>
              <m:t>×2</m:t>
            </m:r>
          </m:num>
          <m:den>
            <m:r>
              <w:rPr>
                <w:rFonts w:ascii="DejaVu Math TeX Gyre" w:hAnsi="DejaVu Math TeX Gyre"/>
                <w:szCs w:val="21"/>
              </w:rPr>
              <m:t>m</m:t>
            </m:r>
          </m:den>
        </m:f>
      </m:oMath>
      <w:r>
        <w:rPr>
          <w:rFonts w:hAnsi="DejaVu Math TeX Gyre" w:hint="eastAsia"/>
          <w:iCs/>
          <w:szCs w:val="21"/>
        </w:rPr>
        <w:t xml:space="preserve">               </w:t>
      </w:r>
      <w:r>
        <w:rPr>
          <w:szCs w:val="21"/>
        </w:rPr>
        <w:t>……………</w:t>
      </w:r>
      <w:r>
        <w:rPr>
          <w:rFonts w:hint="eastAsia"/>
          <w:szCs w:val="21"/>
        </w:rPr>
        <w:t>（</w:t>
      </w:r>
      <w:r>
        <w:rPr>
          <w:rFonts w:hint="eastAsia"/>
          <w:szCs w:val="21"/>
        </w:rPr>
        <w:t>3</w:t>
      </w:r>
      <w:r>
        <w:rPr>
          <w:rFonts w:hint="eastAsia"/>
          <w:szCs w:val="21"/>
        </w:rPr>
        <w:t>）在碱性条件下不可水解阴离子活性物的含量，若以毫摩尔每克（</w:t>
      </w:r>
      <w:r>
        <w:rPr>
          <w:rFonts w:hint="eastAsia"/>
          <w:szCs w:val="21"/>
        </w:rPr>
        <w:t>mmol/g</w:t>
      </w:r>
      <w:r>
        <w:rPr>
          <w:rFonts w:hint="eastAsia"/>
          <w:szCs w:val="21"/>
        </w:rPr>
        <w:t>）表示，按式（</w:t>
      </w:r>
      <w:r>
        <w:rPr>
          <w:rFonts w:hint="eastAsia"/>
          <w:szCs w:val="21"/>
        </w:rPr>
        <w:t>4</w:t>
      </w:r>
      <w:r>
        <w:rPr>
          <w:rFonts w:hint="eastAsia"/>
          <w:szCs w:val="21"/>
        </w:rPr>
        <w:t>）计算：</w:t>
      </w:r>
    </w:p>
    <w:p w14:paraId="4C4E4371" w14:textId="77777777" w:rsidR="0084387C" w:rsidRDefault="00000000">
      <w:pPr>
        <w:ind w:firstLine="555"/>
        <w:jc w:val="center"/>
        <w:rPr>
          <w:szCs w:val="21"/>
        </w:rPr>
      </w:pPr>
      <w:r>
        <w:rPr>
          <w:rFonts w:hAnsi="DejaVu Math TeX Gyre" w:hint="eastAsia"/>
          <w:szCs w:val="21"/>
        </w:rPr>
        <w:t xml:space="preserve">                    </w:t>
      </w:r>
      <m:oMath>
        <m:sSub>
          <m:sSubPr>
            <m:ctrlPr>
              <w:rPr>
                <w:rFonts w:ascii="DejaVu Math TeX Gyre" w:hAnsi="DejaVu Math TeX Gyre"/>
                <w:i/>
                <w:szCs w:val="21"/>
              </w:rPr>
            </m:ctrlPr>
          </m:sSubPr>
          <m:e>
            <m:r>
              <w:rPr>
                <w:rFonts w:ascii="DejaVu Math TeX Gyre" w:hAnsi="DejaVu Math TeX Gyre"/>
                <w:szCs w:val="21"/>
              </w:rPr>
              <m:t>X</m:t>
            </m:r>
          </m:e>
          <m:sub>
            <m:r>
              <m:rPr>
                <m:sty m:val="p"/>
              </m:rPr>
              <w:rPr>
                <w:rFonts w:ascii="DejaVu Math TeX Gyre" w:hAnsi="DejaVu Math TeX Gyre"/>
                <w:szCs w:val="21"/>
              </w:rPr>
              <m:t>2</m:t>
            </m:r>
          </m:sub>
        </m:sSub>
        <m:r>
          <m:rPr>
            <m:sty m:val="p"/>
          </m:rPr>
          <w:rPr>
            <w:rFonts w:ascii="DejaVu Math TeX Gyre" w:hAnsi="DejaVu Math TeX Gyre"/>
            <w:szCs w:val="21"/>
          </w:rPr>
          <m:t>=</m:t>
        </m:r>
        <m:f>
          <m:fPr>
            <m:ctrlPr>
              <w:rPr>
                <w:rFonts w:ascii="DejaVu Math TeX Gyre" w:hAnsi="DejaVu Math TeX Gyre"/>
                <w:iCs/>
                <w:szCs w:val="21"/>
              </w:rPr>
            </m:ctrlPr>
          </m:fPr>
          <m:num>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×500</m:t>
            </m:r>
          </m:num>
          <m:den>
            <m:r>
              <m:rPr>
                <m:sty m:val="p"/>
              </m:rPr>
              <w:rPr>
                <w:rFonts w:ascii="DejaVu Math TeX Gyre" w:hAnsi="DejaVu Math TeX Gyre"/>
                <w:szCs w:val="21"/>
              </w:rPr>
              <m:t>25</m:t>
            </m:r>
            <m:r>
              <m:rPr>
                <m:sty m:val="p"/>
              </m:rPr>
              <w:rPr>
                <w:rFonts w:ascii="DejaVu Math TeX Gyre" w:hAnsi="DejaVu Math TeX Gyre" w:cs="Arial"/>
                <w:szCs w:val="21"/>
              </w:rPr>
              <m:t>×</m:t>
            </m:r>
            <m:r>
              <w:rPr>
                <w:rFonts w:ascii="DejaVu Math TeX Gyre" w:hAnsi="DejaVu Math TeX Gyre"/>
                <w:szCs w:val="21"/>
              </w:rPr>
              <m:t>m</m:t>
            </m:r>
          </m:den>
        </m:f>
        <m:r>
          <m:rPr>
            <m:sty m:val="p"/>
          </m:rPr>
          <w:rPr>
            <w:rFonts w:ascii="DejaVu Math TeX Gyre" w:hAnsi="DejaVu Math TeX Gyre"/>
            <w:szCs w:val="21"/>
          </w:rPr>
          <m:t>=</m:t>
        </m:r>
        <m:f>
          <m:fPr>
            <m:ctrlPr>
              <w:rPr>
                <w:rFonts w:ascii="DejaVu Math TeX Gyre" w:hAnsi="DejaVu Math TeX Gyre"/>
                <w:iCs/>
                <w:szCs w:val="21"/>
              </w:rPr>
            </m:ctrlPr>
          </m:fPr>
          <m:num>
            <m:sSub>
              <m:sSubPr>
                <m:ctrlPr>
                  <w:rPr>
                    <w:rFonts w:ascii="DejaVu Math TeX Gyre" w:hAnsi="DejaVu Math TeX Gyre"/>
                    <w:iCs/>
                    <w:szCs w:val="21"/>
                  </w:rPr>
                </m:ctrlPr>
              </m:sSubPr>
              <m:e>
                <m:r>
                  <w:rPr>
                    <w:rFonts w:ascii="DejaVu Math TeX Gyre" w:hAnsi="DejaVu Math TeX Gyre"/>
                    <w:szCs w:val="21"/>
                  </w:rPr>
                  <m:t>V</m:t>
                </m:r>
              </m:e>
              <m:sub>
                <m:r>
                  <m:rPr>
                    <m:sty m:val="p"/>
                  </m:rPr>
                  <w:rPr>
                    <w:rFonts w:ascii="DejaVu Math TeX Gyre" w:hAnsi="DejaVu Math TeX Gyre"/>
                    <w:szCs w:val="21"/>
                  </w:rPr>
                  <m:t>1</m:t>
                </m:r>
              </m:sub>
            </m:sSub>
            <m:r>
              <m:rPr>
                <m:sty m:val="p"/>
              </m:rPr>
              <w:rPr>
                <w:rFonts w:ascii="DejaVu Math TeX Gyre" w:hAnsi="DejaVu Math TeX Gyre"/>
                <w:szCs w:val="21"/>
              </w:rPr>
              <m:t>×</m:t>
            </m:r>
            <m:r>
              <w:rPr>
                <w:rFonts w:ascii="DejaVu Math TeX Gyre" w:hAnsi="DejaVu Math TeX Gyre"/>
                <w:szCs w:val="21"/>
              </w:rPr>
              <m:t>c</m:t>
            </m:r>
            <m:r>
              <m:rPr>
                <m:sty m:val="p"/>
              </m:rPr>
              <w:rPr>
                <w:rFonts w:ascii="DejaVu Math TeX Gyre" w:hAnsi="DejaVu Math TeX Gyre"/>
                <w:szCs w:val="21"/>
              </w:rPr>
              <m:t>×20</m:t>
            </m:r>
          </m:num>
          <m:den>
            <m:r>
              <w:rPr>
                <w:rFonts w:ascii="DejaVu Math TeX Gyre" w:hAnsi="DejaVu Math TeX Gyre"/>
                <w:szCs w:val="21"/>
              </w:rPr>
              <m:t>m</m:t>
            </m:r>
          </m:den>
        </m:f>
      </m:oMath>
      <w:r>
        <w:rPr>
          <w:rFonts w:hAnsi="DejaVu Math TeX Gyre" w:hint="eastAsia"/>
          <w:iCs/>
          <w:szCs w:val="21"/>
        </w:rPr>
        <w:t xml:space="preserve">                            </w:t>
      </w:r>
      <w:r>
        <w:rPr>
          <w:szCs w:val="21"/>
        </w:rPr>
        <w:t>……………</w:t>
      </w:r>
      <w:r>
        <w:rPr>
          <w:rFonts w:hint="eastAsia"/>
          <w:szCs w:val="21"/>
        </w:rPr>
        <w:t>（</w:t>
      </w:r>
      <w:r>
        <w:rPr>
          <w:rFonts w:hint="eastAsia"/>
          <w:szCs w:val="21"/>
        </w:rPr>
        <w:t>4</w:t>
      </w:r>
      <w:r>
        <w:rPr>
          <w:rFonts w:hint="eastAsia"/>
          <w:szCs w:val="21"/>
        </w:rPr>
        <w:t>）</w:t>
      </w:r>
    </w:p>
    <w:p w14:paraId="717E2282" w14:textId="77777777" w:rsidR="0084387C" w:rsidRDefault="00000000">
      <w:pPr>
        <w:ind w:firstLineChars="200" w:firstLine="420"/>
        <w:rPr>
          <w:szCs w:val="21"/>
        </w:rPr>
      </w:pPr>
      <w:r>
        <w:rPr>
          <w:rFonts w:hint="eastAsia"/>
          <w:szCs w:val="21"/>
        </w:rPr>
        <w:t>式中符号的意义见</w:t>
      </w:r>
      <w:r>
        <w:rPr>
          <w:rFonts w:hint="eastAsia"/>
          <w:szCs w:val="21"/>
        </w:rPr>
        <w:t>8.1.1</w:t>
      </w:r>
      <w:r>
        <w:rPr>
          <w:rFonts w:hint="eastAsia"/>
          <w:szCs w:val="21"/>
        </w:rPr>
        <w:t>。</w:t>
      </w:r>
    </w:p>
    <w:p w14:paraId="0EFEDAFA" w14:textId="77777777" w:rsidR="0084387C" w:rsidRDefault="00000000">
      <w:pPr>
        <w:ind w:firstLineChars="200" w:firstLine="420"/>
        <w:rPr>
          <w:szCs w:val="21"/>
        </w:rPr>
      </w:pPr>
      <w:r>
        <w:rPr>
          <w:rFonts w:hint="eastAsia"/>
          <w:szCs w:val="21"/>
        </w:rPr>
        <w:t>以两次平行测定结果的算术平均值修约至小数点后一位作为测定结果。</w:t>
      </w:r>
    </w:p>
    <w:p w14:paraId="62236523" w14:textId="77777777" w:rsidR="0084387C" w:rsidRDefault="00000000">
      <w:pPr>
        <w:rPr>
          <w:szCs w:val="21"/>
        </w:rPr>
      </w:pPr>
      <w:r>
        <w:rPr>
          <w:szCs w:val="21"/>
        </w:rPr>
        <w:t>8</w:t>
      </w:r>
      <w:r>
        <w:rPr>
          <w:rFonts w:hint="eastAsia"/>
          <w:szCs w:val="21"/>
        </w:rPr>
        <w:t xml:space="preserve">.2 </w:t>
      </w:r>
      <w:r>
        <w:rPr>
          <w:rFonts w:hint="eastAsia"/>
          <w:szCs w:val="21"/>
        </w:rPr>
        <w:t>精密度</w:t>
      </w:r>
    </w:p>
    <w:p w14:paraId="02EBD206" w14:textId="77777777" w:rsidR="0084387C" w:rsidRDefault="00000000">
      <w:pPr>
        <w:rPr>
          <w:szCs w:val="21"/>
        </w:rPr>
      </w:pPr>
      <w:r>
        <w:rPr>
          <w:szCs w:val="21"/>
        </w:rPr>
        <w:t>8</w:t>
      </w:r>
      <w:r>
        <w:rPr>
          <w:rFonts w:hint="eastAsia"/>
          <w:szCs w:val="21"/>
        </w:rPr>
        <w:t xml:space="preserve">.2.1 </w:t>
      </w:r>
      <w:r>
        <w:rPr>
          <w:rFonts w:hint="eastAsia"/>
          <w:szCs w:val="21"/>
        </w:rPr>
        <w:t>重复性</w:t>
      </w:r>
    </w:p>
    <w:p w14:paraId="2BE4EFA5" w14:textId="77777777" w:rsidR="0084387C" w:rsidRDefault="00000000">
      <w:pPr>
        <w:ind w:firstLineChars="200" w:firstLine="420"/>
        <w:rPr>
          <w:szCs w:val="21"/>
        </w:rPr>
      </w:pPr>
      <w:r>
        <w:rPr>
          <w:rFonts w:hint="eastAsia"/>
          <w:szCs w:val="21"/>
        </w:rPr>
        <w:lastRenderedPageBreak/>
        <w:t>在重复性条件下获得的两次独立测定结果的绝对差值不大于其算术平均值的</w:t>
      </w:r>
      <w:r>
        <w:rPr>
          <w:rFonts w:hint="eastAsia"/>
          <w:szCs w:val="21"/>
        </w:rPr>
        <w:t>2</w:t>
      </w:r>
      <w:r>
        <w:rPr>
          <w:rFonts w:hint="eastAsia"/>
          <w:szCs w:val="21"/>
        </w:rPr>
        <w:t>％，以大于</w:t>
      </w:r>
      <w:r>
        <w:rPr>
          <w:rFonts w:hint="eastAsia"/>
          <w:szCs w:val="21"/>
        </w:rPr>
        <w:t>2</w:t>
      </w:r>
      <w:r>
        <w:rPr>
          <w:rFonts w:hint="eastAsia"/>
          <w:szCs w:val="21"/>
        </w:rPr>
        <w:t>％的情况不超过</w:t>
      </w:r>
      <w:r>
        <w:rPr>
          <w:rFonts w:hint="eastAsia"/>
          <w:szCs w:val="21"/>
        </w:rPr>
        <w:t>5</w:t>
      </w:r>
      <w:r>
        <w:rPr>
          <w:rFonts w:hint="eastAsia"/>
          <w:szCs w:val="21"/>
        </w:rPr>
        <w:t>％为前提。</w:t>
      </w:r>
    </w:p>
    <w:p w14:paraId="08CA6104" w14:textId="77777777" w:rsidR="0084387C" w:rsidRDefault="00000000">
      <w:pPr>
        <w:rPr>
          <w:szCs w:val="21"/>
        </w:rPr>
      </w:pPr>
      <w:r>
        <w:rPr>
          <w:szCs w:val="21"/>
        </w:rPr>
        <w:t>8</w:t>
      </w:r>
      <w:r>
        <w:rPr>
          <w:rFonts w:hint="eastAsia"/>
          <w:szCs w:val="21"/>
        </w:rPr>
        <w:t xml:space="preserve">.2.2 </w:t>
      </w:r>
      <w:r>
        <w:rPr>
          <w:rFonts w:hint="eastAsia"/>
          <w:szCs w:val="21"/>
        </w:rPr>
        <w:t>再现性</w:t>
      </w:r>
    </w:p>
    <w:p w14:paraId="56F8994A" w14:textId="77777777" w:rsidR="0084387C" w:rsidRDefault="00000000">
      <w:pPr>
        <w:ind w:firstLineChars="200" w:firstLine="420"/>
        <w:rPr>
          <w:szCs w:val="21"/>
        </w:rPr>
      </w:pPr>
      <w:r>
        <w:rPr>
          <w:rFonts w:hint="eastAsia"/>
          <w:szCs w:val="21"/>
        </w:rPr>
        <w:t>在再现性条件下获得的两次独立测定结果的绝对差值不大于其算术平均值的</w:t>
      </w:r>
      <w:r>
        <w:rPr>
          <w:rFonts w:hint="eastAsia"/>
          <w:szCs w:val="21"/>
        </w:rPr>
        <w:t>4</w:t>
      </w:r>
      <w:r>
        <w:rPr>
          <w:rFonts w:hint="eastAsia"/>
          <w:szCs w:val="21"/>
        </w:rPr>
        <w:t>％，以大于</w:t>
      </w:r>
      <w:r>
        <w:rPr>
          <w:rFonts w:hint="eastAsia"/>
          <w:szCs w:val="21"/>
        </w:rPr>
        <w:t>4</w:t>
      </w:r>
      <w:r>
        <w:rPr>
          <w:rFonts w:hint="eastAsia"/>
          <w:szCs w:val="21"/>
        </w:rPr>
        <w:t>％的情况不超过</w:t>
      </w:r>
      <w:r>
        <w:rPr>
          <w:rFonts w:hint="eastAsia"/>
          <w:szCs w:val="21"/>
        </w:rPr>
        <w:t>5</w:t>
      </w:r>
      <w:r>
        <w:rPr>
          <w:rFonts w:hint="eastAsia"/>
          <w:szCs w:val="21"/>
        </w:rPr>
        <w:t>％为前提。</w:t>
      </w:r>
    </w:p>
    <w:p w14:paraId="1A1D86A0" w14:textId="77777777" w:rsidR="0084387C" w:rsidRDefault="00000000">
      <w:pPr>
        <w:pStyle w:val="a1"/>
        <w:numPr>
          <w:ilvl w:val="1"/>
          <w:numId w:val="0"/>
        </w:numPr>
        <w:spacing w:before="156" w:after="156"/>
      </w:pPr>
      <w:r>
        <w:rPr>
          <w:rFonts w:hint="eastAsia"/>
        </w:rPr>
        <w:t>9  试验报告</w:t>
      </w:r>
    </w:p>
    <w:p w14:paraId="79C25A53" w14:textId="77777777" w:rsidR="0084387C" w:rsidRDefault="00000000">
      <w:pPr>
        <w:ind w:firstLineChars="200" w:firstLine="420"/>
        <w:rPr>
          <w:szCs w:val="21"/>
        </w:rPr>
      </w:pPr>
      <w:r>
        <w:rPr>
          <w:rFonts w:hint="eastAsia"/>
          <w:szCs w:val="21"/>
        </w:rPr>
        <w:t>试验报告应包括下列内容：</w:t>
      </w:r>
    </w:p>
    <w:p w14:paraId="301016D1" w14:textId="77777777" w:rsidR="0084387C" w:rsidRDefault="00000000">
      <w:pPr>
        <w:ind w:firstLineChars="200" w:firstLine="420"/>
        <w:rPr>
          <w:color w:val="FF0000"/>
          <w:szCs w:val="21"/>
        </w:rPr>
      </w:pPr>
      <w:r>
        <w:rPr>
          <w:rFonts w:hint="eastAsia"/>
          <w:szCs w:val="21"/>
        </w:rPr>
        <w:t xml:space="preserve">a) </w:t>
      </w:r>
      <w:r>
        <w:rPr>
          <w:rFonts w:hint="eastAsia"/>
          <w:szCs w:val="21"/>
        </w:rPr>
        <w:t>完全鉴别样品所需的全部资料；</w:t>
      </w:r>
    </w:p>
    <w:p w14:paraId="744822B8" w14:textId="77777777" w:rsidR="0084387C" w:rsidRDefault="00000000">
      <w:pPr>
        <w:ind w:firstLineChars="200" w:firstLine="420"/>
        <w:rPr>
          <w:szCs w:val="21"/>
        </w:rPr>
      </w:pPr>
      <w:r>
        <w:rPr>
          <w:szCs w:val="21"/>
        </w:rPr>
        <w:t xml:space="preserve">b) </w:t>
      </w:r>
      <w:r>
        <w:rPr>
          <w:rFonts w:hint="eastAsia"/>
          <w:szCs w:val="21"/>
        </w:rPr>
        <w:t>结果和使用的表示方法；</w:t>
      </w:r>
    </w:p>
    <w:p w14:paraId="0E68E209" w14:textId="77777777" w:rsidR="0084387C" w:rsidRDefault="00000000">
      <w:pPr>
        <w:ind w:firstLineChars="200" w:firstLine="420"/>
        <w:rPr>
          <w:szCs w:val="21"/>
        </w:rPr>
      </w:pPr>
      <w:r>
        <w:rPr>
          <w:szCs w:val="21"/>
        </w:rPr>
        <w:t>c)</w:t>
      </w:r>
      <w:r>
        <w:rPr>
          <w:rFonts w:hint="eastAsia"/>
          <w:szCs w:val="21"/>
        </w:rPr>
        <w:t xml:space="preserve"> </w:t>
      </w:r>
      <w:r>
        <w:rPr>
          <w:rFonts w:hint="eastAsia"/>
          <w:szCs w:val="21"/>
        </w:rPr>
        <w:t>测定时注意到的异常情况；</w:t>
      </w:r>
    </w:p>
    <w:p w14:paraId="68B42A0A" w14:textId="77777777" w:rsidR="0084387C" w:rsidRDefault="00000000">
      <w:pPr>
        <w:ind w:firstLineChars="200" w:firstLine="420"/>
        <w:rPr>
          <w:szCs w:val="21"/>
        </w:rPr>
      </w:pPr>
      <w:r>
        <w:rPr>
          <w:rFonts w:hint="eastAsia"/>
          <w:szCs w:val="21"/>
        </w:rPr>
        <w:t xml:space="preserve">d) </w:t>
      </w:r>
      <w:r>
        <w:rPr>
          <w:rFonts w:hint="eastAsia"/>
          <w:szCs w:val="21"/>
        </w:rPr>
        <w:t>本标准未包括的或任选的任何操作；</w:t>
      </w:r>
    </w:p>
    <w:p w14:paraId="62BDB95E" w14:textId="77777777" w:rsidR="0084387C" w:rsidRDefault="00000000">
      <w:pPr>
        <w:ind w:firstLineChars="200" w:firstLine="420"/>
        <w:rPr>
          <w:szCs w:val="21"/>
        </w:rPr>
      </w:pPr>
      <w:r>
        <w:rPr>
          <w:szCs w:val="21"/>
        </w:rPr>
        <w:t>e)</w:t>
      </w:r>
      <w:r>
        <w:rPr>
          <w:rFonts w:hint="eastAsia"/>
          <w:szCs w:val="21"/>
        </w:rPr>
        <w:t xml:space="preserve"> </w:t>
      </w:r>
      <w:r>
        <w:rPr>
          <w:rFonts w:hint="eastAsia"/>
          <w:szCs w:val="21"/>
        </w:rPr>
        <w:t>试验日期。</w:t>
      </w:r>
    </w:p>
    <w:p w14:paraId="237D2F08" w14:textId="77777777" w:rsidR="0084387C" w:rsidRDefault="0084387C">
      <w:pPr>
        <w:ind w:firstLine="480"/>
      </w:pPr>
    </w:p>
    <w:p w14:paraId="1481FE41" w14:textId="77777777" w:rsidR="0084387C" w:rsidRDefault="0084387C">
      <w:pPr>
        <w:ind w:firstLine="480"/>
      </w:pPr>
    </w:p>
    <w:p w14:paraId="5A03CDDE" w14:textId="77777777" w:rsidR="0084387C" w:rsidRDefault="0084387C">
      <w:pPr>
        <w:ind w:firstLine="480"/>
      </w:pPr>
    </w:p>
    <w:p w14:paraId="5EFD97B6" w14:textId="77777777" w:rsidR="0084387C" w:rsidRDefault="0084387C">
      <w:pPr>
        <w:ind w:firstLine="480"/>
      </w:pPr>
    </w:p>
    <w:p w14:paraId="41B207B2" w14:textId="77777777" w:rsidR="0084387C" w:rsidRDefault="0084387C">
      <w:pPr>
        <w:ind w:firstLine="480"/>
      </w:pPr>
    </w:p>
    <w:p w14:paraId="65DE04B0" w14:textId="77777777" w:rsidR="0084387C" w:rsidRDefault="0084387C">
      <w:pPr>
        <w:ind w:firstLine="480"/>
      </w:pPr>
    </w:p>
    <w:p w14:paraId="1166C9A7" w14:textId="77777777" w:rsidR="0084387C" w:rsidRDefault="0084387C">
      <w:pPr>
        <w:ind w:firstLine="480"/>
      </w:pPr>
    </w:p>
    <w:p w14:paraId="2F52CCDB" w14:textId="77777777" w:rsidR="0084387C" w:rsidRDefault="0084387C">
      <w:pPr>
        <w:ind w:firstLine="480"/>
      </w:pPr>
    </w:p>
    <w:p w14:paraId="1689C873" w14:textId="77777777" w:rsidR="0084387C" w:rsidRDefault="0084387C">
      <w:pPr>
        <w:ind w:firstLine="480"/>
      </w:pPr>
    </w:p>
    <w:p w14:paraId="3EDBA3EB" w14:textId="77777777" w:rsidR="0084387C" w:rsidRDefault="0084387C">
      <w:pPr>
        <w:ind w:firstLine="480"/>
      </w:pPr>
    </w:p>
    <w:p w14:paraId="0B2C346F" w14:textId="77777777" w:rsidR="0084387C" w:rsidRDefault="00000000">
      <w:pPr>
        <w:rPr>
          <w:rFonts w:ascii="黑体" w:eastAsia="黑体"/>
          <w:kern w:val="0"/>
          <w:szCs w:val="21"/>
        </w:rPr>
      </w:pPr>
      <w:r>
        <w:rPr>
          <w:rFonts w:ascii="黑体" w:eastAsia="黑体" w:hint="eastAsia"/>
          <w:kern w:val="0"/>
          <w:szCs w:val="21"/>
        </w:rPr>
        <w:br w:type="page"/>
      </w:r>
    </w:p>
    <w:p w14:paraId="39E4336F" w14:textId="77777777" w:rsidR="0084387C" w:rsidRDefault="00000000">
      <w:pPr>
        <w:keepNext/>
        <w:widowControl/>
        <w:shd w:val="clear" w:color="FFFFFF" w:fill="FFFFFF"/>
        <w:tabs>
          <w:tab w:val="left" w:pos="6405"/>
        </w:tabs>
        <w:spacing w:before="640" w:after="280"/>
        <w:jc w:val="center"/>
        <w:outlineLvl w:val="0"/>
        <w:rPr>
          <w:rFonts w:ascii="黑体" w:eastAsia="黑体"/>
          <w:kern w:val="0"/>
          <w:szCs w:val="21"/>
        </w:rPr>
      </w:pPr>
      <w:r>
        <w:rPr>
          <w:rFonts w:ascii="黑体" w:eastAsia="黑体" w:hint="eastAsia"/>
          <w:kern w:val="0"/>
          <w:szCs w:val="21"/>
        </w:rPr>
        <w:lastRenderedPageBreak/>
        <w:t>附录A</w:t>
      </w:r>
      <w:r>
        <w:rPr>
          <w:rFonts w:ascii="黑体" w:eastAsia="黑体" w:hint="eastAsia"/>
          <w:kern w:val="0"/>
          <w:szCs w:val="21"/>
        </w:rPr>
        <w:br/>
        <w:t>（资料性）</w:t>
      </w:r>
      <w:r>
        <w:rPr>
          <w:rFonts w:ascii="黑体" w:eastAsia="黑体" w:hint="eastAsia"/>
          <w:kern w:val="0"/>
          <w:szCs w:val="21"/>
        </w:rPr>
        <w:br/>
        <w:t>本文件与</w:t>
      </w:r>
      <w:r>
        <w:rPr>
          <w:rFonts w:ascii="Times New Roman Regular" w:eastAsia="黑体" w:hAnsi="Times New Roman Regular" w:cs="Times New Roman Regular"/>
          <w:kern w:val="0"/>
          <w:szCs w:val="21"/>
        </w:rPr>
        <w:t>ISO 2689:1973</w:t>
      </w:r>
      <w:r>
        <w:rPr>
          <w:rFonts w:ascii="黑体" w:eastAsia="黑体" w:hint="eastAsia"/>
          <w:kern w:val="0"/>
          <w:szCs w:val="21"/>
        </w:rPr>
        <w:t>技术差异及其原因</w:t>
      </w:r>
    </w:p>
    <w:p w14:paraId="0295EA24" w14:textId="77777777" w:rsidR="0084387C" w:rsidRDefault="00000000">
      <w:pPr>
        <w:pStyle w:val="af9"/>
        <w:ind w:firstLine="420"/>
        <w:rPr>
          <w:rFonts w:ascii="Times New Roman"/>
        </w:rPr>
      </w:pPr>
      <w:r>
        <w:rPr>
          <w:rFonts w:ascii="Times New Roman" w:hint="eastAsia"/>
        </w:rPr>
        <w:t>表</w:t>
      </w:r>
      <w:r>
        <w:rPr>
          <w:rFonts w:ascii="Times New Roman" w:hint="eastAsia"/>
        </w:rPr>
        <w:t>A.1</w:t>
      </w:r>
      <w:r>
        <w:rPr>
          <w:rFonts w:ascii="Times New Roman" w:hint="eastAsia"/>
        </w:rPr>
        <w:t>给出了本文件与</w:t>
      </w:r>
      <w:r>
        <w:rPr>
          <w:rFonts w:ascii="Times New Roman"/>
        </w:rPr>
        <w:t xml:space="preserve">ISO </w:t>
      </w:r>
      <w:r>
        <w:rPr>
          <w:rFonts w:ascii="Times New Roman" w:hint="eastAsia"/>
        </w:rPr>
        <w:t>2689</w:t>
      </w:r>
      <w:r>
        <w:rPr>
          <w:rFonts w:ascii="Times New Roman"/>
        </w:rPr>
        <w:t>:197</w:t>
      </w:r>
      <w:r>
        <w:rPr>
          <w:rFonts w:ascii="Times New Roman" w:hint="eastAsia"/>
        </w:rPr>
        <w:t>3</w:t>
      </w:r>
      <w:r>
        <w:rPr>
          <w:rFonts w:ascii="Times New Roman" w:hint="eastAsia"/>
        </w:rPr>
        <w:t>技术差异及其原因的一览表。</w:t>
      </w:r>
    </w:p>
    <w:p w14:paraId="4C441F20" w14:textId="77777777" w:rsidR="0084387C" w:rsidRDefault="00000000">
      <w:pPr>
        <w:pStyle w:val="a"/>
        <w:numPr>
          <w:ilvl w:val="0"/>
          <w:numId w:val="0"/>
        </w:numPr>
        <w:spacing w:before="156" w:after="156"/>
        <w:rPr>
          <w:rFonts w:hAnsi="黑体" w:cs="黑体" w:hint="eastAsia"/>
        </w:rPr>
      </w:pPr>
      <w:r>
        <w:rPr>
          <w:rFonts w:hAnsi="黑体" w:cs="黑体" w:hint="eastAsia"/>
        </w:rPr>
        <w:t>表A.1 本文件与</w:t>
      </w:r>
      <w:r>
        <w:rPr>
          <w:rFonts w:ascii="Times New Roman Regular" w:hAnsi="Times New Roman Regular" w:cs="Times New Roman Regular"/>
        </w:rPr>
        <w:t>ISO 2689:1973</w:t>
      </w:r>
      <w:r>
        <w:rPr>
          <w:rFonts w:hAnsi="黑体" w:cs="黑体" w:hint="eastAsia"/>
        </w:rPr>
        <w:t>技术差异及其原因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8"/>
        <w:gridCol w:w="3499"/>
        <w:gridCol w:w="3149"/>
      </w:tblGrid>
      <w:tr w:rsidR="0084387C" w14:paraId="06244C72" w14:textId="77777777">
        <w:trPr>
          <w:trHeight w:val="357"/>
          <w:jc w:val="center"/>
        </w:trPr>
        <w:tc>
          <w:tcPr>
            <w:tcW w:w="1648" w:type="dxa"/>
            <w:shd w:val="clear" w:color="auto" w:fill="auto"/>
          </w:tcPr>
          <w:p w14:paraId="6C6AE35E"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本文件结构编号</w:t>
            </w:r>
          </w:p>
        </w:tc>
        <w:tc>
          <w:tcPr>
            <w:tcW w:w="3499" w:type="dxa"/>
            <w:shd w:val="clear" w:color="auto" w:fill="auto"/>
          </w:tcPr>
          <w:p w14:paraId="5BA18EB3"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技术差异</w:t>
            </w:r>
          </w:p>
        </w:tc>
        <w:tc>
          <w:tcPr>
            <w:tcW w:w="3149" w:type="dxa"/>
            <w:shd w:val="clear" w:color="auto" w:fill="auto"/>
          </w:tcPr>
          <w:p w14:paraId="5FEC451D"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原因</w:t>
            </w:r>
          </w:p>
        </w:tc>
      </w:tr>
      <w:tr w:rsidR="0084387C" w14:paraId="7910BBB8" w14:textId="77777777">
        <w:trPr>
          <w:trHeight w:val="509"/>
          <w:jc w:val="center"/>
        </w:trPr>
        <w:tc>
          <w:tcPr>
            <w:tcW w:w="1648" w:type="dxa"/>
            <w:shd w:val="clear" w:color="auto" w:fill="auto"/>
            <w:vAlign w:val="center"/>
          </w:tcPr>
          <w:p w14:paraId="39955BE6"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5</w:t>
            </w:r>
          </w:p>
        </w:tc>
        <w:tc>
          <w:tcPr>
            <w:tcW w:w="3499" w:type="dxa"/>
            <w:shd w:val="clear" w:color="auto" w:fill="auto"/>
            <w:vAlign w:val="center"/>
          </w:tcPr>
          <w:p w14:paraId="31F36005" w14:textId="77777777" w:rsidR="0084387C" w:rsidRDefault="00000000">
            <w:pPr>
              <w:pStyle w:val="af9"/>
              <w:ind w:firstLineChars="0" w:firstLine="0"/>
              <w:rPr>
                <w:rFonts w:ascii="Times New Roman"/>
                <w:color w:val="000000" w:themeColor="text1"/>
                <w:sz w:val="18"/>
                <w:szCs w:val="18"/>
              </w:rPr>
            </w:pPr>
            <w:r>
              <w:rPr>
                <w:rFonts w:ascii="Times New Roman" w:hint="eastAsia"/>
                <w:color w:val="000000" w:themeColor="text1"/>
                <w:sz w:val="18"/>
                <w:szCs w:val="18"/>
              </w:rPr>
              <w:t>删除了</w:t>
            </w:r>
            <w:r>
              <w:rPr>
                <w:rFonts w:hint="eastAsia"/>
                <w:sz w:val="18"/>
                <w:szCs w:val="18"/>
              </w:rPr>
              <w:t>硫酸，</w:t>
            </w:r>
            <w:r>
              <w:rPr>
                <w:rFonts w:ascii="Times New Roman Italic" w:hAnsi="Times New Roman Italic" w:cs="Times New Roman Italic"/>
                <w:i/>
                <w:iCs/>
                <w:sz w:val="18"/>
                <w:szCs w:val="18"/>
              </w:rPr>
              <w:t>c</w:t>
            </w:r>
            <w:r>
              <w:rPr>
                <w:rFonts w:ascii="Times New Roman Italic" w:hAnsi="Times New Roman Italic" w:cs="Times New Roman Italic"/>
                <w:sz w:val="18"/>
                <w:szCs w:val="18"/>
              </w:rPr>
              <w:t>（</w:t>
            </w:r>
            <m:oMath>
              <m:box>
                <m:boxPr>
                  <m:ctrlPr>
                    <w:rPr>
                      <w:rFonts w:ascii="DejaVu Math TeX Gyre" w:hAnsi="DejaVu Math TeX Gyre" w:cs="Times New Roman Italic"/>
                      <w:i/>
                      <w:iCs/>
                      <w:sz w:val="18"/>
                      <w:szCs w:val="18"/>
                    </w:rPr>
                  </m:ctrlPr>
                </m:boxPr>
                <m:e>
                  <m:argPr>
                    <m:argSz m:val="-1"/>
                  </m:argPr>
                  <m:f>
                    <m:fPr>
                      <m:ctrlPr>
                        <w:rPr>
                          <w:rFonts w:ascii="DejaVu Math TeX Gyre" w:hAnsi="DejaVu Math TeX Gyre" w:cs="Times New Roman Italic"/>
                          <w:i/>
                          <w:iCs/>
                          <w:sz w:val="18"/>
                          <w:szCs w:val="18"/>
                        </w:rPr>
                      </m:ctrlPr>
                    </m:fPr>
                    <m:num>
                      <m:r>
                        <m:rPr>
                          <m:sty m:val="p"/>
                        </m:rPr>
                        <w:rPr>
                          <w:rFonts w:ascii="DejaVu Math TeX Gyre" w:hAnsi="DejaVu Math TeX Gyre" w:cs="Times New Roman Italic"/>
                          <w:sz w:val="18"/>
                          <w:szCs w:val="18"/>
                        </w:rPr>
                        <m:t>1</m:t>
                      </m:r>
                    </m:num>
                    <m:den>
                      <m:r>
                        <m:rPr>
                          <m:sty m:val="p"/>
                        </m:rPr>
                        <w:rPr>
                          <w:rFonts w:ascii="DejaVu Math TeX Gyre" w:hAnsi="DejaVu Math TeX Gyre" w:cs="Times New Roman Italic"/>
                          <w:sz w:val="18"/>
                          <w:szCs w:val="18"/>
                        </w:rPr>
                        <m:t>2</m:t>
                      </m:r>
                    </m:den>
                  </m:f>
                </m:e>
              </m:box>
              <m:sSub>
                <m:sSubPr>
                  <m:ctrlPr>
                    <w:rPr>
                      <w:rFonts w:ascii="DejaVu Math TeX Gyre" w:hAnsi="DejaVu Math TeX Gyre" w:cs="Times New Roman Italic"/>
                      <w:i/>
                      <w:iCs/>
                      <w:sz w:val="18"/>
                      <w:szCs w:val="18"/>
                    </w:rPr>
                  </m:ctrlPr>
                </m:sSubPr>
                <m:e>
                  <m:r>
                    <w:rPr>
                      <w:rFonts w:ascii="DejaVu Math TeX Gyre" w:hAnsi="DejaVu Math TeX Gyre" w:cs="Times New Roman Italic"/>
                      <w:sz w:val="18"/>
                      <w:szCs w:val="18"/>
                    </w:rPr>
                    <m:t>H</m:t>
                  </m:r>
                </m:e>
                <m:sub>
                  <m:r>
                    <m:rPr>
                      <m:sty m:val="p"/>
                    </m:rPr>
                    <w:rPr>
                      <w:rFonts w:ascii="DejaVu Math TeX Gyre" w:hAnsi="DejaVu Math TeX Gyre" w:cs="Times New Roman Italic"/>
                      <w:sz w:val="18"/>
                      <w:szCs w:val="18"/>
                    </w:rPr>
                    <m:t>2</m:t>
                  </m:r>
                </m:sub>
              </m:sSub>
              <m:r>
                <w:rPr>
                  <w:rFonts w:ascii="DejaVu Math TeX Gyre" w:hAnsi="DejaVu Math TeX Gyre" w:cs="Times New Roman Italic"/>
                  <w:sz w:val="18"/>
                  <w:szCs w:val="18"/>
                </w:rPr>
                <m:t>S</m:t>
              </m:r>
              <m:sSub>
                <m:sSubPr>
                  <m:ctrlPr>
                    <w:rPr>
                      <w:rFonts w:ascii="DejaVu Math TeX Gyre" w:hAnsi="DejaVu Math TeX Gyre" w:cs="Times New Roman Italic"/>
                      <w:i/>
                      <w:iCs/>
                      <w:sz w:val="18"/>
                      <w:szCs w:val="18"/>
                    </w:rPr>
                  </m:ctrlPr>
                </m:sSubPr>
                <m:e>
                  <m:r>
                    <w:rPr>
                      <w:rFonts w:ascii="DejaVu Math TeX Gyre" w:hAnsi="DejaVu Math TeX Gyre" w:cs="Times New Roman Italic"/>
                      <w:sz w:val="18"/>
                      <w:szCs w:val="18"/>
                    </w:rPr>
                    <m:t>O</m:t>
                  </m:r>
                </m:e>
                <m:sub>
                  <m:r>
                    <m:rPr>
                      <m:sty m:val="p"/>
                    </m:rPr>
                    <w:rPr>
                      <w:rFonts w:ascii="DejaVu Math TeX Gyre" w:hAnsi="DejaVu Math TeX Gyre" w:cs="Times New Roman Italic"/>
                      <w:sz w:val="18"/>
                      <w:szCs w:val="18"/>
                    </w:rPr>
                    <m:t>4</m:t>
                  </m:r>
                </m:sub>
              </m:sSub>
            </m:oMath>
            <w:r>
              <w:rPr>
                <w:rFonts w:ascii="Times New Roman Italic" w:hAnsi="Times New Roman Italic" w:cs="Times New Roman Italic"/>
                <w:sz w:val="18"/>
                <w:szCs w:val="18"/>
              </w:rPr>
              <w:t>）</w:t>
            </w:r>
            <w:r>
              <w:rPr>
                <w:rFonts w:hint="eastAsia"/>
                <w:sz w:val="18"/>
                <w:szCs w:val="18"/>
              </w:rPr>
              <w:t>=5 mol/L溶液，氢氧化钠，</w:t>
            </w:r>
            <w:r>
              <w:rPr>
                <w:rFonts w:ascii="Times New Roman Italic" w:hAnsi="Times New Roman Italic" w:cs="Times New Roman Italic"/>
                <w:i/>
                <w:iCs/>
                <w:sz w:val="18"/>
                <w:szCs w:val="18"/>
              </w:rPr>
              <w:t>c</w:t>
            </w:r>
            <w:r>
              <w:rPr>
                <w:rFonts w:ascii="Times New Roman Regular" w:hAnsi="Times New Roman Regular" w:cs="Times New Roman Regular" w:hint="eastAsia"/>
                <w:sz w:val="18"/>
                <w:szCs w:val="18"/>
              </w:rPr>
              <w:t>（</w:t>
            </w:r>
            <m:oMath>
              <m:sSub>
                <m:sSubPr>
                  <m:ctrlPr>
                    <w:rPr>
                      <w:rFonts w:ascii="DejaVu Math TeX Gyre" w:hAnsi="DejaVu Math TeX Gyre" w:cs="Times New Roman Regular" w:hint="eastAsia"/>
                      <w:sz w:val="18"/>
                      <w:szCs w:val="18"/>
                    </w:rPr>
                  </m:ctrlPr>
                </m:sSubPr>
                <m:e>
                  <m:r>
                    <m:rPr>
                      <m:sty m:val="p"/>
                    </m:rPr>
                    <w:rPr>
                      <w:rFonts w:ascii="DejaVu Math TeX Gyre" w:hAnsi="DejaVu Math TeX Gyre" w:cs="Times New Roman Regular" w:hint="eastAsia"/>
                      <w:sz w:val="18"/>
                      <w:szCs w:val="18"/>
                    </w:rPr>
                    <m:t>N</m:t>
                  </m:r>
                </m:e>
                <m:sub>
                  <m:r>
                    <m:rPr>
                      <m:sty m:val="p"/>
                    </m:rPr>
                    <w:rPr>
                      <w:rFonts w:ascii="DejaVu Math TeX Gyre" w:hAnsi="DejaVu Math TeX Gyre" w:cs="Times New Roman Regular" w:hint="eastAsia"/>
                      <w:sz w:val="18"/>
                      <w:szCs w:val="18"/>
                    </w:rPr>
                    <m:t>a</m:t>
                  </m:r>
                </m:sub>
              </m:sSub>
              <m:r>
                <m:rPr>
                  <m:sty m:val="p"/>
                </m:rPr>
                <w:rPr>
                  <w:rFonts w:ascii="DejaVu Math TeX Gyre" w:hAnsi="DejaVu Math TeX Gyre" w:cs="Times New Roman Regular" w:hint="eastAsia"/>
                  <w:sz w:val="18"/>
                  <w:szCs w:val="18"/>
                </w:rPr>
                <m:t>OH</m:t>
              </m:r>
            </m:oMath>
            <w:r>
              <w:rPr>
                <w:rFonts w:ascii="Times New Roman Regular" w:hAnsi="Times New Roman Regular" w:cs="Times New Roman Regular" w:hint="eastAsia"/>
                <w:sz w:val="18"/>
                <w:szCs w:val="18"/>
              </w:rPr>
              <w:t>）</w:t>
            </w:r>
            <w:r>
              <w:rPr>
                <w:rFonts w:ascii="Times New Roman Regular" w:hAnsi="Times New Roman Regular" w:cs="Times New Roman Regular"/>
                <w:sz w:val="18"/>
                <w:szCs w:val="18"/>
              </w:rPr>
              <w:t>=</w:t>
            </w:r>
            <w:r>
              <w:rPr>
                <w:rFonts w:ascii="Times New Roman Regular" w:hAnsi="Times New Roman Regular" w:cs="Times New Roman Regular" w:hint="eastAsia"/>
                <w:sz w:val="18"/>
                <w:szCs w:val="18"/>
              </w:rPr>
              <w:t>1.0</w:t>
            </w:r>
            <w:r>
              <w:rPr>
                <w:rFonts w:ascii="Times New Roman Regular" w:hAnsi="Times New Roman Regular" w:cs="Times New Roman Regular"/>
                <w:sz w:val="18"/>
                <w:szCs w:val="18"/>
              </w:rPr>
              <w:t xml:space="preserve"> mol/L</w:t>
            </w:r>
            <w:r>
              <w:rPr>
                <w:rFonts w:hAnsi="宋体" w:hint="eastAsia"/>
                <w:sz w:val="18"/>
                <w:szCs w:val="18"/>
              </w:rPr>
              <w:t>溶液和</w:t>
            </w:r>
            <w:r>
              <w:rPr>
                <w:rFonts w:hint="eastAsia"/>
                <w:sz w:val="18"/>
                <w:szCs w:val="18"/>
              </w:rPr>
              <w:t>十二烷基硫酸钠</w:t>
            </w:r>
            <w:r>
              <w:rPr>
                <w:rFonts w:hAnsi="宋体" w:hint="eastAsia"/>
                <w:sz w:val="18"/>
                <w:szCs w:val="18"/>
              </w:rPr>
              <w:t>，</w:t>
            </w:r>
            <w:r>
              <w:rPr>
                <w:rFonts w:ascii="Times New Roman Italic" w:hAnsi="Times New Roman Italic" w:cs="Times New Roman Italic"/>
                <w:i/>
                <w:iCs/>
                <w:sz w:val="18"/>
                <w:szCs w:val="18"/>
              </w:rPr>
              <w:t>c</w:t>
            </w:r>
            <w:r>
              <w:rPr>
                <w:rFonts w:hint="eastAsia"/>
                <w:sz w:val="18"/>
                <w:szCs w:val="18"/>
              </w:rPr>
              <w:t>（</w:t>
            </w:r>
            <m:oMath>
              <m:sSub>
                <m:sSubPr>
                  <m:ctrlPr>
                    <w:rPr>
                      <w:rFonts w:ascii="DejaVu Math TeX Gyre" w:hAnsi="DejaVu Math TeX Gyre"/>
                      <w:i/>
                      <w:sz w:val="18"/>
                      <w:szCs w:val="18"/>
                    </w:rPr>
                  </m:ctrlPr>
                </m:sSubPr>
                <m:e>
                  <m:r>
                    <w:rPr>
                      <w:rFonts w:ascii="DejaVu Math TeX Gyre" w:hAnsi="DejaVu Math TeX Gyre"/>
                      <w:sz w:val="18"/>
                      <w:szCs w:val="18"/>
                    </w:rPr>
                    <m:t>C</m:t>
                  </m:r>
                </m:e>
                <m:sub>
                  <m:r>
                    <m:rPr>
                      <m:sty m:val="p"/>
                    </m:rPr>
                    <w:rPr>
                      <w:rFonts w:ascii="DejaVu Math TeX Gyre" w:hAnsi="DejaVu Math TeX Gyre"/>
                      <w:sz w:val="18"/>
                      <w:szCs w:val="18"/>
                    </w:rPr>
                    <m:t>12</m:t>
                  </m:r>
                </m:sub>
              </m:sSub>
              <m:sSub>
                <m:sSubPr>
                  <m:ctrlPr>
                    <w:rPr>
                      <w:rFonts w:ascii="DejaVu Math TeX Gyre" w:hAnsi="DejaVu Math TeX Gyre"/>
                      <w:i/>
                      <w:sz w:val="18"/>
                      <w:szCs w:val="18"/>
                    </w:rPr>
                  </m:ctrlPr>
                </m:sSubPr>
                <m:e>
                  <m:r>
                    <w:rPr>
                      <w:rFonts w:ascii="DejaVu Math TeX Gyre" w:hAnsi="DejaVu Math TeX Gyre"/>
                      <w:sz w:val="18"/>
                      <w:szCs w:val="18"/>
                    </w:rPr>
                    <m:t>H</m:t>
                  </m:r>
                </m:e>
                <m:sub>
                  <m:r>
                    <m:rPr>
                      <m:sty m:val="p"/>
                    </m:rPr>
                    <w:rPr>
                      <w:rFonts w:ascii="DejaVu Math TeX Gyre" w:hAnsi="DejaVu Math TeX Gyre"/>
                      <w:sz w:val="18"/>
                      <w:szCs w:val="18"/>
                    </w:rPr>
                    <m:t>25</m:t>
                  </m:r>
                </m:sub>
              </m:sSub>
              <m:r>
                <w:rPr>
                  <w:rFonts w:ascii="DejaVu Math TeX Gyre" w:hAnsi="DejaVu Math TeX Gyre"/>
                  <w:sz w:val="18"/>
                  <w:szCs w:val="18"/>
                </w:rPr>
                <m:t>Na</m:t>
              </m:r>
              <m:sSub>
                <m:sSubPr>
                  <m:ctrlPr>
                    <w:rPr>
                      <w:rFonts w:ascii="DejaVu Math TeX Gyre" w:hAnsi="DejaVu Math TeX Gyre"/>
                      <w:i/>
                      <w:sz w:val="18"/>
                      <w:szCs w:val="18"/>
                    </w:rPr>
                  </m:ctrlPr>
                </m:sSubPr>
                <m:e>
                  <m:r>
                    <w:rPr>
                      <w:rFonts w:ascii="DejaVu Math TeX Gyre" w:hAnsi="DejaVu Math TeX Gyre"/>
                      <w:sz w:val="18"/>
                      <w:szCs w:val="18"/>
                    </w:rPr>
                    <m:t>O</m:t>
                  </m:r>
                </m:e>
                <m:sub>
                  <m:r>
                    <m:rPr>
                      <m:sty m:val="p"/>
                    </m:rPr>
                    <w:rPr>
                      <w:rFonts w:ascii="DejaVu Math TeX Gyre" w:hAnsi="DejaVu Math TeX Gyre"/>
                      <w:sz w:val="18"/>
                      <w:szCs w:val="18"/>
                    </w:rPr>
                    <m:t>4</m:t>
                  </m:r>
                </m:sub>
              </m:sSub>
              <m:r>
                <w:rPr>
                  <w:rFonts w:ascii="DejaVu Math TeX Gyre" w:hAnsi="DejaVu Math TeX Gyre"/>
                  <w:sz w:val="18"/>
                  <w:szCs w:val="18"/>
                </w:rPr>
                <m:t>S</m:t>
              </m:r>
            </m:oMath>
            <w:r>
              <w:rPr>
                <w:rFonts w:ascii="Times New Roman Regular" w:hAnsi="Times New Roman Regular" w:cs="Times New Roman Regular" w:hint="eastAsia"/>
                <w:sz w:val="18"/>
                <w:szCs w:val="18"/>
              </w:rPr>
              <w:t>）</w:t>
            </w:r>
            <w:r>
              <w:rPr>
                <w:rFonts w:ascii="Times New Roman Regular" w:hAnsi="Times New Roman Regular" w:cs="Times New Roman Regular"/>
                <w:sz w:val="18"/>
                <w:szCs w:val="18"/>
              </w:rPr>
              <w:t>=0.004 mol/L</w:t>
            </w:r>
            <w:r>
              <w:rPr>
                <w:rFonts w:hAnsi="宋体" w:hint="eastAsia"/>
                <w:sz w:val="18"/>
                <w:szCs w:val="18"/>
              </w:rPr>
              <w:t>溶液</w:t>
            </w:r>
          </w:p>
        </w:tc>
        <w:tc>
          <w:tcPr>
            <w:tcW w:w="3149" w:type="dxa"/>
            <w:shd w:val="clear" w:color="auto" w:fill="auto"/>
            <w:vAlign w:val="center"/>
          </w:tcPr>
          <w:p w14:paraId="60B77502" w14:textId="77777777" w:rsidR="0084387C" w:rsidRDefault="00000000">
            <w:pPr>
              <w:pStyle w:val="af9"/>
              <w:ind w:firstLineChars="0" w:firstLine="0"/>
              <w:rPr>
                <w:rFonts w:ascii="Times New Roman"/>
                <w:b/>
                <w:bCs/>
                <w:color w:val="000000" w:themeColor="text1"/>
                <w:sz w:val="18"/>
                <w:szCs w:val="18"/>
              </w:rPr>
            </w:pPr>
            <w:r>
              <w:rPr>
                <w:rFonts w:hint="eastAsia"/>
                <w:color w:val="000000" w:themeColor="text1"/>
                <w:sz w:val="18"/>
                <w:szCs w:val="18"/>
                <w:lang w:eastAsia="zh-Hans"/>
              </w:rPr>
              <w:t>提高标准可操作性</w:t>
            </w:r>
            <w:r>
              <w:rPr>
                <w:rFonts w:hint="eastAsia"/>
                <w:color w:val="000000" w:themeColor="text1"/>
                <w:sz w:val="18"/>
                <w:szCs w:val="18"/>
              </w:rPr>
              <w:t>，</w:t>
            </w:r>
            <w:r>
              <w:rPr>
                <w:rFonts w:ascii="Times New Roman" w:hint="eastAsia"/>
                <w:sz w:val="18"/>
                <w:szCs w:val="18"/>
              </w:rPr>
              <w:t>便于本文件的应用</w:t>
            </w:r>
          </w:p>
        </w:tc>
      </w:tr>
      <w:tr w:rsidR="0084387C" w14:paraId="62412B3A" w14:textId="77777777">
        <w:trPr>
          <w:trHeight w:val="503"/>
          <w:jc w:val="center"/>
        </w:trPr>
        <w:tc>
          <w:tcPr>
            <w:tcW w:w="1648" w:type="dxa"/>
            <w:shd w:val="clear" w:color="auto" w:fill="auto"/>
            <w:vAlign w:val="center"/>
          </w:tcPr>
          <w:p w14:paraId="11FE7490"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6</w:t>
            </w:r>
          </w:p>
        </w:tc>
        <w:tc>
          <w:tcPr>
            <w:tcW w:w="3499" w:type="dxa"/>
            <w:shd w:val="clear" w:color="auto" w:fill="auto"/>
            <w:vAlign w:val="center"/>
          </w:tcPr>
          <w:p w14:paraId="69CA6F62" w14:textId="77777777" w:rsidR="0084387C" w:rsidRDefault="00000000">
            <w:pPr>
              <w:pStyle w:val="af9"/>
              <w:ind w:firstLineChars="0" w:firstLine="0"/>
              <w:rPr>
                <w:rFonts w:ascii="Times New Roman"/>
                <w:color w:val="000000" w:themeColor="text1"/>
                <w:sz w:val="18"/>
                <w:szCs w:val="18"/>
              </w:rPr>
            </w:pPr>
            <w:r>
              <w:rPr>
                <w:rFonts w:ascii="Times New Roman" w:hint="eastAsia"/>
                <w:color w:val="000000" w:themeColor="text1"/>
                <w:sz w:val="18"/>
                <w:szCs w:val="18"/>
              </w:rPr>
              <w:t>增加了不同规格移液管和可控温的水浴锅，</w:t>
            </w:r>
            <w:r>
              <w:rPr>
                <w:rFonts w:ascii="Times New Roman" w:hint="eastAsia"/>
                <w:sz w:val="18"/>
                <w:szCs w:val="18"/>
              </w:rPr>
              <w:t>规定了回流冷凝器的长度</w:t>
            </w:r>
          </w:p>
        </w:tc>
        <w:tc>
          <w:tcPr>
            <w:tcW w:w="3149" w:type="dxa"/>
            <w:shd w:val="clear" w:color="auto" w:fill="auto"/>
            <w:vAlign w:val="center"/>
          </w:tcPr>
          <w:p w14:paraId="161FEFDA" w14:textId="77777777" w:rsidR="0084387C" w:rsidRDefault="00000000">
            <w:pPr>
              <w:pStyle w:val="af9"/>
              <w:ind w:firstLineChars="0" w:firstLine="0"/>
              <w:rPr>
                <w:rFonts w:ascii="Times New Roman"/>
                <w:b/>
                <w:bCs/>
                <w:color w:val="000000" w:themeColor="text1"/>
                <w:sz w:val="18"/>
                <w:szCs w:val="18"/>
                <w:lang w:eastAsia="zh-Hans"/>
              </w:rPr>
            </w:pPr>
            <w:r>
              <w:rPr>
                <w:rFonts w:hint="eastAsia"/>
                <w:color w:val="000000" w:themeColor="text1"/>
                <w:sz w:val="18"/>
                <w:szCs w:val="18"/>
                <w:lang w:eastAsia="zh-Hans"/>
              </w:rPr>
              <w:t>提高标准可操作性</w:t>
            </w:r>
            <w:r>
              <w:rPr>
                <w:rFonts w:hint="eastAsia"/>
                <w:color w:val="000000" w:themeColor="text1"/>
                <w:sz w:val="18"/>
                <w:szCs w:val="18"/>
              </w:rPr>
              <w:t>，</w:t>
            </w:r>
            <w:r>
              <w:rPr>
                <w:rFonts w:ascii="Times New Roman" w:hint="eastAsia"/>
                <w:sz w:val="18"/>
                <w:szCs w:val="18"/>
              </w:rPr>
              <w:t>便于本文件的应用</w:t>
            </w:r>
          </w:p>
        </w:tc>
      </w:tr>
      <w:tr w:rsidR="0084387C" w14:paraId="04049656" w14:textId="77777777">
        <w:trPr>
          <w:trHeight w:val="540"/>
          <w:jc w:val="center"/>
        </w:trPr>
        <w:tc>
          <w:tcPr>
            <w:tcW w:w="1648" w:type="dxa"/>
            <w:shd w:val="clear" w:color="auto" w:fill="auto"/>
            <w:vAlign w:val="center"/>
          </w:tcPr>
          <w:p w14:paraId="79243046" w14:textId="77777777" w:rsidR="0084387C" w:rsidRDefault="00000000">
            <w:pPr>
              <w:pStyle w:val="af9"/>
              <w:ind w:firstLineChars="0" w:firstLine="0"/>
              <w:jc w:val="center"/>
              <w:rPr>
                <w:rFonts w:ascii="Times New Roman"/>
                <w:color w:val="000000" w:themeColor="text1"/>
                <w:sz w:val="18"/>
                <w:szCs w:val="18"/>
              </w:rPr>
            </w:pPr>
            <w:r>
              <w:rPr>
                <w:rFonts w:ascii="Times New Roman" w:hint="eastAsia"/>
                <w:color w:val="000000" w:themeColor="text1"/>
                <w:sz w:val="18"/>
                <w:szCs w:val="18"/>
              </w:rPr>
              <w:t>7.1</w:t>
            </w:r>
          </w:p>
        </w:tc>
        <w:tc>
          <w:tcPr>
            <w:tcW w:w="3499" w:type="dxa"/>
            <w:shd w:val="clear" w:color="auto" w:fill="auto"/>
            <w:vAlign w:val="center"/>
          </w:tcPr>
          <w:p w14:paraId="7C5CF652" w14:textId="77777777" w:rsidR="0084387C" w:rsidRDefault="00000000">
            <w:pPr>
              <w:pStyle w:val="af9"/>
              <w:ind w:firstLineChars="0" w:firstLine="0"/>
              <w:rPr>
                <w:rFonts w:ascii="Times New Roman"/>
                <w:color w:val="000000" w:themeColor="text1"/>
                <w:sz w:val="18"/>
                <w:szCs w:val="18"/>
                <w:lang w:eastAsia="zh-Hans"/>
              </w:rPr>
            </w:pPr>
            <w:r>
              <w:rPr>
                <w:rFonts w:hAnsi="宋体" w:hint="eastAsia"/>
                <w:color w:val="000000" w:themeColor="text1"/>
                <w:sz w:val="18"/>
                <w:szCs w:val="18"/>
              </w:rPr>
              <w:t>增加了试验测定溶液的配制</w:t>
            </w:r>
          </w:p>
        </w:tc>
        <w:tc>
          <w:tcPr>
            <w:tcW w:w="3149" w:type="dxa"/>
            <w:shd w:val="clear" w:color="auto" w:fill="auto"/>
            <w:vAlign w:val="center"/>
          </w:tcPr>
          <w:p w14:paraId="1562A299" w14:textId="77777777" w:rsidR="0084387C" w:rsidRDefault="00000000">
            <w:pPr>
              <w:pStyle w:val="af9"/>
              <w:ind w:firstLineChars="0" w:firstLine="0"/>
              <w:rPr>
                <w:rFonts w:ascii="Times New Roman"/>
                <w:b/>
                <w:bCs/>
                <w:color w:val="000000" w:themeColor="text1"/>
                <w:sz w:val="18"/>
                <w:szCs w:val="18"/>
                <w:lang w:eastAsia="zh-Hans"/>
              </w:rPr>
            </w:pPr>
            <w:r>
              <w:rPr>
                <w:rFonts w:hint="eastAsia"/>
                <w:color w:val="000000" w:themeColor="text1"/>
                <w:sz w:val="18"/>
                <w:szCs w:val="18"/>
                <w:lang w:eastAsia="zh-Hans"/>
              </w:rPr>
              <w:t>提高标准可操作性</w:t>
            </w:r>
            <w:r>
              <w:rPr>
                <w:rFonts w:hint="eastAsia"/>
                <w:color w:val="000000" w:themeColor="text1"/>
                <w:sz w:val="18"/>
                <w:szCs w:val="18"/>
              </w:rPr>
              <w:t>，</w:t>
            </w:r>
            <w:r>
              <w:rPr>
                <w:rFonts w:ascii="Times New Roman" w:hint="eastAsia"/>
                <w:sz w:val="18"/>
                <w:szCs w:val="18"/>
              </w:rPr>
              <w:t>便于本文件的应用</w:t>
            </w:r>
          </w:p>
        </w:tc>
      </w:tr>
    </w:tbl>
    <w:p w14:paraId="3F08110C" w14:textId="77777777" w:rsidR="0084387C" w:rsidRDefault="00000000">
      <w:r>
        <w:rPr>
          <w:noProof/>
        </w:rPr>
        <mc:AlternateContent>
          <mc:Choice Requires="wps">
            <w:drawing>
              <wp:anchor distT="0" distB="0" distL="114300" distR="114300" simplePos="0" relativeHeight="251674624" behindDoc="0" locked="0" layoutInCell="1" allowOverlap="1" wp14:anchorId="052873F8" wp14:editId="7BF5B294">
                <wp:simplePos x="0" y="0"/>
                <wp:positionH relativeFrom="margin">
                  <wp:posOffset>2341245</wp:posOffset>
                </wp:positionH>
                <wp:positionV relativeFrom="paragraph">
                  <wp:posOffset>456565</wp:posOffset>
                </wp:positionV>
                <wp:extent cx="1238250" cy="635"/>
                <wp:effectExtent l="0" t="0" r="0" b="0"/>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anchor>
            </w:drawing>
          </mc:Choice>
          <mc:Fallback xmlns:wpsCustomData="http://www.wps.cn/officeDocument/2013/wpsCustomData">
            <w:pict>
              <v:shape id="AutoShape 17" o:spid="_x0000_s1026" o:spt="32" type="#_x0000_t32" style="position:absolute;left:0pt;margin-left:184.35pt;margin-top:35.95pt;height:0.05pt;width:97.5pt;mso-position-horizontal-relative:margin;z-index:251674624;mso-width-relative:page;mso-height-relative:page;" filled="f" stroked="t" coordsize="21600,21600" o:gfxdata="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MWFTZvYAAAACQEAAA8AAAAAAAAAAQAgAAAAOAAAAGRycy9kb3ducmV2LnhtbFBLAQIU&#10;ABQAAAAIAIdO4kCGtvSs3QEAAMQDAAAOAAAAAAAAAAEAIAAAAD0BAABkcnMvZTJvRG9jLnhtbFBL&#10;BQYAAAAABgAGAFkBAACMBQAAAAA=&#10;">
                <v:fill on="f" focussize="0,0"/>
                <v:stroke weight="1.25pt" color="#000000" joinstyle="round"/>
                <v:imagedata o:title=""/>
                <o:lock v:ext="edit" aspectratio="f"/>
              </v:shape>
            </w:pict>
          </mc:Fallback>
        </mc:AlternateContent>
      </w:r>
    </w:p>
    <w:p w14:paraId="3382CEDB" w14:textId="77777777" w:rsidR="0084387C" w:rsidRDefault="0084387C">
      <w:pPr>
        <w:tabs>
          <w:tab w:val="left" w:pos="5446"/>
        </w:tabs>
        <w:ind w:firstLine="480"/>
        <w:rPr>
          <w:rFonts w:hAnsi="宋体" w:hint="eastAsia"/>
          <w:b/>
        </w:rPr>
      </w:pPr>
    </w:p>
    <w:p w14:paraId="3C4664B3" w14:textId="77777777" w:rsidR="0084387C" w:rsidRDefault="0084387C">
      <w:pPr>
        <w:keepNext/>
        <w:widowControl/>
        <w:shd w:val="clear" w:color="FFFFFF" w:fill="FFFFFF"/>
        <w:tabs>
          <w:tab w:val="left" w:pos="6405"/>
        </w:tabs>
        <w:spacing w:before="640" w:after="280"/>
        <w:outlineLvl w:val="0"/>
        <w:rPr>
          <w:rFonts w:ascii="黑体" w:eastAsia="黑体"/>
          <w:kern w:val="0"/>
          <w:szCs w:val="21"/>
        </w:rPr>
      </w:pPr>
    </w:p>
    <w:sectPr w:rsidR="0084387C">
      <w:pgSz w:w="11907" w:h="1683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6E10" w14:textId="77777777" w:rsidR="0047086F" w:rsidRDefault="0047086F">
      <w:r>
        <w:separator/>
      </w:r>
    </w:p>
  </w:endnote>
  <w:endnote w:type="continuationSeparator" w:id="0">
    <w:p w14:paraId="00444D13" w14:textId="77777777" w:rsidR="0047086F" w:rsidRDefault="0047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Regular">
    <w:altName w:val="Times New Roman"/>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 w:name="DejaVu Math TeX Gyre">
    <w:altName w:val="Calibri"/>
    <w:charset w:val="00"/>
    <w:family w:val="auto"/>
    <w:pitch w:val="default"/>
    <w:sig w:usb0="A10000EF" w:usb1="4201F9EE" w:usb2="02000000" w:usb3="00000000" w:csb0="60000193" w:csb1="0DD4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07692" w14:textId="77777777" w:rsidR="0084387C" w:rsidRDefault="00000000">
    <w:pPr>
      <w:pStyle w:val="af4"/>
      <w:rPr>
        <w:rStyle w:val="af1"/>
      </w:rPr>
    </w:pPr>
    <w:r>
      <w:rPr>
        <w:rStyle w:val="af1"/>
      </w:rPr>
      <w:fldChar w:fldCharType="begin"/>
    </w:r>
    <w:r>
      <w:rPr>
        <w:rStyle w:val="af1"/>
      </w:rPr>
      <w:instrText xml:space="preserve">PAGE  </w:instrText>
    </w:r>
    <w:r>
      <w:rPr>
        <w:rStyle w:val="af1"/>
      </w:rPr>
      <w:fldChar w:fldCharType="separate"/>
    </w:r>
    <w:r>
      <w:rPr>
        <w:rStyle w:val="af1"/>
      </w:rPr>
      <w:t>12</w:t>
    </w:r>
    <w:r>
      <w:rPr>
        <w:rStyle w:val="af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6E79" w14:textId="77777777" w:rsidR="0084387C" w:rsidRDefault="00000000">
    <w:pPr>
      <w:pStyle w:val="af5"/>
      <w:rPr>
        <w:rStyle w:val="af1"/>
      </w:rPr>
    </w:pPr>
    <w:r>
      <w:rPr>
        <w:rStyle w:val="af1"/>
      </w:rPr>
      <w:fldChar w:fldCharType="begin"/>
    </w:r>
    <w:r>
      <w:rPr>
        <w:rStyle w:val="af1"/>
      </w:rPr>
      <w:instrText xml:space="preserve">PAGE  </w:instrText>
    </w:r>
    <w:r>
      <w:rPr>
        <w:rStyle w:val="af1"/>
      </w:rPr>
      <w:fldChar w:fldCharType="separate"/>
    </w:r>
    <w:r>
      <w:rPr>
        <w:rStyle w:val="af1"/>
      </w:rPr>
      <w:t>I</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53C1" w14:textId="77777777" w:rsidR="0084387C" w:rsidRDefault="00000000">
    <w:pPr>
      <w:pStyle w:val="af4"/>
      <w:rPr>
        <w:rStyle w:val="af1"/>
      </w:rPr>
    </w:pPr>
    <w:r>
      <w:rPr>
        <w:rStyle w:val="af1"/>
      </w:rPr>
      <w:fldChar w:fldCharType="begin"/>
    </w:r>
    <w:r>
      <w:rPr>
        <w:rStyle w:val="af1"/>
      </w:rPr>
      <w:instrText xml:space="preserve">PAGE  </w:instrText>
    </w:r>
    <w:r>
      <w:rPr>
        <w:rStyle w:val="af1"/>
      </w:rPr>
      <w:fldChar w:fldCharType="separate"/>
    </w:r>
    <w:r>
      <w:rPr>
        <w:rStyle w:val="af1"/>
      </w:rPr>
      <w:t>2</w:t>
    </w:r>
    <w:r>
      <w:rPr>
        <w:rStyle w:val="af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EDA1" w14:textId="77777777" w:rsidR="0084387C" w:rsidRDefault="00000000">
    <w:pPr>
      <w:pStyle w:val="af5"/>
      <w:wordWrap w:val="0"/>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078D" w14:textId="77777777" w:rsidR="0047086F" w:rsidRDefault="0047086F">
      <w:r>
        <w:separator/>
      </w:r>
    </w:p>
  </w:footnote>
  <w:footnote w:type="continuationSeparator" w:id="0">
    <w:p w14:paraId="23F7C012" w14:textId="77777777" w:rsidR="0047086F" w:rsidRDefault="00470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CB11" w14:textId="77777777" w:rsidR="0084387C" w:rsidRDefault="00000000">
    <w:pPr>
      <w:pStyle w:val="af7"/>
      <w:spacing w:after="0"/>
      <w:rPr>
        <w:rFonts w:ascii="黑体" w:eastAsia="黑体" w:hAnsi="黑体" w:hint="eastAsia"/>
      </w:rPr>
    </w:pPr>
    <w:r>
      <w:rPr>
        <w:rFonts w:ascii="黑体" w:eastAsia="黑体" w:hAnsi="黑体"/>
      </w:rPr>
      <w:t>GB/T</w:t>
    </w:r>
    <w:r>
      <w:rPr>
        <w:rFonts w:ascii="黑体" w:eastAsia="黑体" w:hAnsi="黑体" w:hint="eastAsia"/>
      </w:rPr>
      <w:t xml:space="preserve"> 2</w:t>
    </w:r>
    <w:r>
      <w:rPr>
        <w:rFonts w:ascii="黑体" w:eastAsia="黑体" w:hAnsi="黑体"/>
      </w:rPr>
      <w:t>0198</w:t>
    </w:r>
    <w:r>
      <w:rPr>
        <w:rFonts w:ascii="黑体" w:eastAsia="黑体" w:hAnsi="黑体" w:hint="eastAsia"/>
      </w:rPr>
      <w:t>—</w:t>
    </w:r>
    <w:r>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56413" w14:textId="77777777" w:rsidR="0084387C" w:rsidRDefault="00000000">
    <w:pPr>
      <w:pStyle w:val="af6"/>
      <w:spacing w:after="0"/>
      <w:rPr>
        <w:rFonts w:ascii="黑体" w:eastAsia="黑体" w:hAnsi="黑体" w:hint="eastAsia"/>
      </w:rPr>
    </w:pPr>
    <w:r>
      <w:rPr>
        <w:rFonts w:ascii="黑体" w:eastAsia="黑体" w:hAnsi="黑体"/>
      </w:rPr>
      <w:t xml:space="preserve">GB/T </w:t>
    </w:r>
    <w:r>
      <w:rPr>
        <w:rFonts w:ascii="黑体" w:eastAsia="黑体" w:hAnsi="黑体" w:hint="eastAsia"/>
      </w:rPr>
      <w:t>2</w:t>
    </w:r>
    <w:r>
      <w:rPr>
        <w:rFonts w:ascii="黑体" w:eastAsia="黑体" w:hAnsi="黑体"/>
      </w:rPr>
      <w:t>0198</w:t>
    </w:r>
    <w:r>
      <w:rPr>
        <w:rFonts w:ascii="黑体" w:eastAsia="黑体" w:hAnsi="黑体" w:hint="eastAsia"/>
      </w:rPr>
      <w:t>—</w:t>
    </w:r>
    <w:r>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C5B85" w14:textId="77777777" w:rsidR="0084387C" w:rsidRDefault="00000000">
    <w:pPr>
      <w:pStyle w:val="af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105" w:firstLine="0"/>
      </w:pPr>
      <w:rPr>
        <w:rFonts w:hint="eastAsia"/>
        <w:b w:val="0"/>
        <w:i w:val="0"/>
        <w:sz w:val="21"/>
      </w:rPr>
    </w:lvl>
    <w:lvl w:ilvl="2">
      <w:start w:val="1"/>
      <w:numFmt w:val="decimal"/>
      <w:pStyle w:val="a2"/>
      <w:suff w:val="nothing"/>
      <w:lvlText w:val="%1%2.%3　"/>
      <w:lvlJc w:val="left"/>
      <w:pPr>
        <w:ind w:left="315" w:firstLine="0"/>
      </w:pPr>
      <w:rPr>
        <w:rFonts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a3"/>
      <w:suff w:val="nothing"/>
      <w:lvlText w:val="%1%2.%3.%4　"/>
      <w:lvlJc w:val="left"/>
      <w:pPr>
        <w:ind w:left="0" w:firstLine="0"/>
      </w:pPr>
      <w:rPr>
        <w:rFonts w:hint="eastAsia"/>
        <w:b w:val="0"/>
      </w:rPr>
    </w:lvl>
    <w:lvl w:ilvl="4">
      <w:start w:val="1"/>
      <w:numFmt w:val="decimal"/>
      <w:pStyle w:val="a4"/>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5"/>
      <w:suff w:val="nothing"/>
      <w:lvlText w:val="%1%2.%3.%4.%5.%6　"/>
      <w:lvlJc w:val="left"/>
      <w:pPr>
        <w:ind w:left="0" w:firstLine="0"/>
      </w:pPr>
      <w:rPr>
        <w:rFonts w:hint="eastAsia"/>
        <w:b w:val="0"/>
        <w:i w:val="0"/>
        <w:sz w:val="21"/>
      </w:rPr>
    </w:lvl>
    <w:lvl w:ilvl="6">
      <w:start w:val="1"/>
      <w:numFmt w:val="decimal"/>
      <w:pStyle w:val="a6"/>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952543026">
    <w:abstractNumId w:val="1"/>
  </w:num>
  <w:num w:numId="2" w16cid:durableId="752971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65A"/>
    <w:rsid w:val="8F9F4CE2"/>
    <w:rsid w:val="8FFF895E"/>
    <w:rsid w:val="BBBD7D4A"/>
    <w:rsid w:val="BFFCFDFF"/>
    <w:rsid w:val="BFFF7621"/>
    <w:rsid w:val="CB1F09F9"/>
    <w:rsid w:val="DCFF2839"/>
    <w:rsid w:val="DDFF367B"/>
    <w:rsid w:val="DDFFB2DD"/>
    <w:rsid w:val="DF7BDE6D"/>
    <w:rsid w:val="E3FFE29C"/>
    <w:rsid w:val="E78D6229"/>
    <w:rsid w:val="E8FDB38C"/>
    <w:rsid w:val="FCB30665"/>
    <w:rsid w:val="FCBD44C7"/>
    <w:rsid w:val="FEE3D9DB"/>
    <w:rsid w:val="FEF5C872"/>
    <w:rsid w:val="FFE5F8F8"/>
    <w:rsid w:val="00002ACA"/>
    <w:rsid w:val="00020398"/>
    <w:rsid w:val="00053C18"/>
    <w:rsid w:val="00065173"/>
    <w:rsid w:val="0006553C"/>
    <w:rsid w:val="00082DA7"/>
    <w:rsid w:val="00083EF2"/>
    <w:rsid w:val="00084DC9"/>
    <w:rsid w:val="000856F0"/>
    <w:rsid w:val="00085D7D"/>
    <w:rsid w:val="000B0F8A"/>
    <w:rsid w:val="000C5F32"/>
    <w:rsid w:val="000C7CBC"/>
    <w:rsid w:val="000D0D12"/>
    <w:rsid w:val="000D2B57"/>
    <w:rsid w:val="000E3B5A"/>
    <w:rsid w:val="000E5E8C"/>
    <w:rsid w:val="000F27D7"/>
    <w:rsid w:val="000F51A7"/>
    <w:rsid w:val="00103705"/>
    <w:rsid w:val="00107361"/>
    <w:rsid w:val="001277A2"/>
    <w:rsid w:val="00132C04"/>
    <w:rsid w:val="0014379D"/>
    <w:rsid w:val="00157227"/>
    <w:rsid w:val="0016704F"/>
    <w:rsid w:val="00167217"/>
    <w:rsid w:val="00176701"/>
    <w:rsid w:val="0017753E"/>
    <w:rsid w:val="00181803"/>
    <w:rsid w:val="001847F5"/>
    <w:rsid w:val="001A2642"/>
    <w:rsid w:val="001B465A"/>
    <w:rsid w:val="001C4CE5"/>
    <w:rsid w:val="001F567D"/>
    <w:rsid w:val="00220244"/>
    <w:rsid w:val="00220F7C"/>
    <w:rsid w:val="00222CB8"/>
    <w:rsid w:val="0023739C"/>
    <w:rsid w:val="0025617E"/>
    <w:rsid w:val="00261182"/>
    <w:rsid w:val="00264BEA"/>
    <w:rsid w:val="002652D6"/>
    <w:rsid w:val="00267EDB"/>
    <w:rsid w:val="002729E8"/>
    <w:rsid w:val="00281261"/>
    <w:rsid w:val="002B0E40"/>
    <w:rsid w:val="002B40D2"/>
    <w:rsid w:val="002B6D3F"/>
    <w:rsid w:val="002E07B9"/>
    <w:rsid w:val="002E59E3"/>
    <w:rsid w:val="00306AD0"/>
    <w:rsid w:val="003153F8"/>
    <w:rsid w:val="00335818"/>
    <w:rsid w:val="003431CA"/>
    <w:rsid w:val="003554CB"/>
    <w:rsid w:val="00362186"/>
    <w:rsid w:val="00363C76"/>
    <w:rsid w:val="00390487"/>
    <w:rsid w:val="00390C17"/>
    <w:rsid w:val="0039495A"/>
    <w:rsid w:val="00395534"/>
    <w:rsid w:val="003B3743"/>
    <w:rsid w:val="003B4C34"/>
    <w:rsid w:val="003D0316"/>
    <w:rsid w:val="003D3ACB"/>
    <w:rsid w:val="003E32B0"/>
    <w:rsid w:val="003F0B89"/>
    <w:rsid w:val="004012A2"/>
    <w:rsid w:val="00404284"/>
    <w:rsid w:val="004070BC"/>
    <w:rsid w:val="004071B0"/>
    <w:rsid w:val="0041411C"/>
    <w:rsid w:val="004275F9"/>
    <w:rsid w:val="00435189"/>
    <w:rsid w:val="00437AD0"/>
    <w:rsid w:val="00453A74"/>
    <w:rsid w:val="00470354"/>
    <w:rsid w:val="0047086F"/>
    <w:rsid w:val="00486EE6"/>
    <w:rsid w:val="004A0D95"/>
    <w:rsid w:val="004B60C4"/>
    <w:rsid w:val="004C2071"/>
    <w:rsid w:val="004C5135"/>
    <w:rsid w:val="004D5F02"/>
    <w:rsid w:val="004D70B0"/>
    <w:rsid w:val="004F5F7D"/>
    <w:rsid w:val="005075A7"/>
    <w:rsid w:val="00514516"/>
    <w:rsid w:val="0051795F"/>
    <w:rsid w:val="00526BA4"/>
    <w:rsid w:val="00547A2F"/>
    <w:rsid w:val="00555C7A"/>
    <w:rsid w:val="00556C26"/>
    <w:rsid w:val="005A17DB"/>
    <w:rsid w:val="005A5697"/>
    <w:rsid w:val="005A5D4C"/>
    <w:rsid w:val="005B522C"/>
    <w:rsid w:val="005B6BD0"/>
    <w:rsid w:val="005C15EC"/>
    <w:rsid w:val="005E6973"/>
    <w:rsid w:val="005E7373"/>
    <w:rsid w:val="005F3352"/>
    <w:rsid w:val="005F427B"/>
    <w:rsid w:val="006106CA"/>
    <w:rsid w:val="00612E19"/>
    <w:rsid w:val="0062732C"/>
    <w:rsid w:val="006404EF"/>
    <w:rsid w:val="00660444"/>
    <w:rsid w:val="006678AD"/>
    <w:rsid w:val="006815C5"/>
    <w:rsid w:val="00681B81"/>
    <w:rsid w:val="00681DF0"/>
    <w:rsid w:val="00685D0C"/>
    <w:rsid w:val="006936A9"/>
    <w:rsid w:val="006949A6"/>
    <w:rsid w:val="00696204"/>
    <w:rsid w:val="00697AF8"/>
    <w:rsid w:val="006A32BE"/>
    <w:rsid w:val="006A46BE"/>
    <w:rsid w:val="006C521E"/>
    <w:rsid w:val="006C6C02"/>
    <w:rsid w:val="006E7690"/>
    <w:rsid w:val="006F1AD5"/>
    <w:rsid w:val="00705B40"/>
    <w:rsid w:val="0071222C"/>
    <w:rsid w:val="00737F50"/>
    <w:rsid w:val="0074330F"/>
    <w:rsid w:val="00743C7D"/>
    <w:rsid w:val="00754930"/>
    <w:rsid w:val="007631F3"/>
    <w:rsid w:val="00785951"/>
    <w:rsid w:val="00794661"/>
    <w:rsid w:val="00795504"/>
    <w:rsid w:val="007A558D"/>
    <w:rsid w:val="007A65CF"/>
    <w:rsid w:val="007A6D4B"/>
    <w:rsid w:val="007C2D80"/>
    <w:rsid w:val="007D3666"/>
    <w:rsid w:val="007E3904"/>
    <w:rsid w:val="007F279A"/>
    <w:rsid w:val="007F580F"/>
    <w:rsid w:val="008030E0"/>
    <w:rsid w:val="00811035"/>
    <w:rsid w:val="008210F2"/>
    <w:rsid w:val="00823AA0"/>
    <w:rsid w:val="008320A7"/>
    <w:rsid w:val="0084387C"/>
    <w:rsid w:val="008626EF"/>
    <w:rsid w:val="00873A7C"/>
    <w:rsid w:val="00877AC4"/>
    <w:rsid w:val="00883F9B"/>
    <w:rsid w:val="008A2F5A"/>
    <w:rsid w:val="008B5DB7"/>
    <w:rsid w:val="008C04C3"/>
    <w:rsid w:val="008D5164"/>
    <w:rsid w:val="008E5D35"/>
    <w:rsid w:val="008F5867"/>
    <w:rsid w:val="009055C2"/>
    <w:rsid w:val="00907952"/>
    <w:rsid w:val="00907B2E"/>
    <w:rsid w:val="00914A5D"/>
    <w:rsid w:val="00940571"/>
    <w:rsid w:val="00942D51"/>
    <w:rsid w:val="00947D7C"/>
    <w:rsid w:val="00950278"/>
    <w:rsid w:val="0095212C"/>
    <w:rsid w:val="009650AD"/>
    <w:rsid w:val="0097607C"/>
    <w:rsid w:val="0098028F"/>
    <w:rsid w:val="00984992"/>
    <w:rsid w:val="009911CD"/>
    <w:rsid w:val="00996FDA"/>
    <w:rsid w:val="009A1B2F"/>
    <w:rsid w:val="009C6434"/>
    <w:rsid w:val="009C73EB"/>
    <w:rsid w:val="009D14A5"/>
    <w:rsid w:val="009E3A79"/>
    <w:rsid w:val="009F4FAA"/>
    <w:rsid w:val="00A01F9B"/>
    <w:rsid w:val="00A07762"/>
    <w:rsid w:val="00A0781F"/>
    <w:rsid w:val="00A1069D"/>
    <w:rsid w:val="00A17273"/>
    <w:rsid w:val="00A242B7"/>
    <w:rsid w:val="00A26CAD"/>
    <w:rsid w:val="00A30CBD"/>
    <w:rsid w:val="00A36D67"/>
    <w:rsid w:val="00A430A0"/>
    <w:rsid w:val="00A45E4B"/>
    <w:rsid w:val="00A7166D"/>
    <w:rsid w:val="00AA1A90"/>
    <w:rsid w:val="00AC62E9"/>
    <w:rsid w:val="00AD1C45"/>
    <w:rsid w:val="00AD2894"/>
    <w:rsid w:val="00AD413A"/>
    <w:rsid w:val="00AF4E3D"/>
    <w:rsid w:val="00AF7C03"/>
    <w:rsid w:val="00B049E4"/>
    <w:rsid w:val="00B161A5"/>
    <w:rsid w:val="00B20189"/>
    <w:rsid w:val="00B2475D"/>
    <w:rsid w:val="00B41CAD"/>
    <w:rsid w:val="00B61CE1"/>
    <w:rsid w:val="00B62315"/>
    <w:rsid w:val="00B707B2"/>
    <w:rsid w:val="00B84913"/>
    <w:rsid w:val="00B86754"/>
    <w:rsid w:val="00B90A9E"/>
    <w:rsid w:val="00B90D98"/>
    <w:rsid w:val="00B94B0D"/>
    <w:rsid w:val="00BB0B6F"/>
    <w:rsid w:val="00BB7EC9"/>
    <w:rsid w:val="00BC27D5"/>
    <w:rsid w:val="00BC5DBE"/>
    <w:rsid w:val="00BF007E"/>
    <w:rsid w:val="00C150E7"/>
    <w:rsid w:val="00C57D66"/>
    <w:rsid w:val="00C621F0"/>
    <w:rsid w:val="00C77F4E"/>
    <w:rsid w:val="00C8019A"/>
    <w:rsid w:val="00C86134"/>
    <w:rsid w:val="00C86361"/>
    <w:rsid w:val="00C92B81"/>
    <w:rsid w:val="00C93E29"/>
    <w:rsid w:val="00C94B32"/>
    <w:rsid w:val="00C954DA"/>
    <w:rsid w:val="00C96E8E"/>
    <w:rsid w:val="00CA4F3F"/>
    <w:rsid w:val="00CA541D"/>
    <w:rsid w:val="00CC2047"/>
    <w:rsid w:val="00CC4707"/>
    <w:rsid w:val="00CE3259"/>
    <w:rsid w:val="00CF7F46"/>
    <w:rsid w:val="00D11F26"/>
    <w:rsid w:val="00D12A88"/>
    <w:rsid w:val="00D242DE"/>
    <w:rsid w:val="00D3546E"/>
    <w:rsid w:val="00D36B6C"/>
    <w:rsid w:val="00D37657"/>
    <w:rsid w:val="00D408EB"/>
    <w:rsid w:val="00D41BCC"/>
    <w:rsid w:val="00D42DA8"/>
    <w:rsid w:val="00D66EF8"/>
    <w:rsid w:val="00D70C85"/>
    <w:rsid w:val="00D755CE"/>
    <w:rsid w:val="00D8543C"/>
    <w:rsid w:val="00DB5CE9"/>
    <w:rsid w:val="00DB7EFF"/>
    <w:rsid w:val="00E01E82"/>
    <w:rsid w:val="00E10872"/>
    <w:rsid w:val="00E247B0"/>
    <w:rsid w:val="00E34A84"/>
    <w:rsid w:val="00E378A1"/>
    <w:rsid w:val="00E40A5F"/>
    <w:rsid w:val="00E46BBD"/>
    <w:rsid w:val="00E6076C"/>
    <w:rsid w:val="00E6209A"/>
    <w:rsid w:val="00E65952"/>
    <w:rsid w:val="00E70ED3"/>
    <w:rsid w:val="00E71FC8"/>
    <w:rsid w:val="00E754DA"/>
    <w:rsid w:val="00E84D20"/>
    <w:rsid w:val="00E866E6"/>
    <w:rsid w:val="00E9173B"/>
    <w:rsid w:val="00EB5658"/>
    <w:rsid w:val="00EB6A42"/>
    <w:rsid w:val="00EC1E5F"/>
    <w:rsid w:val="00EC7615"/>
    <w:rsid w:val="00ED209C"/>
    <w:rsid w:val="00ED746A"/>
    <w:rsid w:val="00EE7DDE"/>
    <w:rsid w:val="00F04D8B"/>
    <w:rsid w:val="00F058C5"/>
    <w:rsid w:val="00F07668"/>
    <w:rsid w:val="00F13F14"/>
    <w:rsid w:val="00F179F8"/>
    <w:rsid w:val="00F25DED"/>
    <w:rsid w:val="00F3188B"/>
    <w:rsid w:val="00F474C2"/>
    <w:rsid w:val="00F755CC"/>
    <w:rsid w:val="00F833C0"/>
    <w:rsid w:val="00F92322"/>
    <w:rsid w:val="00FA77B4"/>
    <w:rsid w:val="00FC1F31"/>
    <w:rsid w:val="00FD0034"/>
    <w:rsid w:val="00FD099C"/>
    <w:rsid w:val="00FE31BD"/>
    <w:rsid w:val="00FE5047"/>
    <w:rsid w:val="00FE795A"/>
    <w:rsid w:val="39CF95AF"/>
    <w:rsid w:val="3AEEE390"/>
    <w:rsid w:val="3FFB47FD"/>
    <w:rsid w:val="43D7F9A7"/>
    <w:rsid w:val="5F373E6B"/>
    <w:rsid w:val="5FCED03D"/>
    <w:rsid w:val="77D770C6"/>
    <w:rsid w:val="77FB0A8C"/>
    <w:rsid w:val="7DD33937"/>
    <w:rsid w:val="7DFBE69D"/>
    <w:rsid w:val="7F7C8B92"/>
    <w:rsid w:val="7FFCC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36C7F2D"/>
  <w15:docId w15:val="{A6ECCA5C-3F30-45EF-B50E-7435A40F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jc w:val="both"/>
    </w:pPr>
    <w:rPr>
      <w:rFonts w:ascii="Times New Roman" w:eastAsia="宋体" w:hAnsi="Times New Roman" w:cs="Times New Roman"/>
      <w:kern w:val="2"/>
      <w:sz w:val="21"/>
      <w:szCs w:val="24"/>
    </w:rPr>
  </w:style>
  <w:style w:type="paragraph" w:styleId="2">
    <w:name w:val="heading 2"/>
    <w:basedOn w:val="a7"/>
    <w:next w:val="a7"/>
    <w:link w:val="20"/>
    <w:uiPriority w:val="9"/>
    <w:unhideWhenUsed/>
    <w:qFormat/>
    <w:pPr>
      <w:keepNext/>
      <w:keepLines/>
      <w:spacing w:before="260" w:after="260" w:line="415" w:lineRule="auto"/>
      <w:outlineLvl w:val="1"/>
    </w:pPr>
    <w:rPr>
      <w:rFonts w:asciiTheme="majorHAnsi" w:eastAsiaTheme="majorEastAsia" w:hAnsiTheme="majorHAnsi" w:cstheme="majorBidi"/>
      <w:b/>
      <w:bCs/>
      <w:sz w:val="28"/>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Plain Text"/>
    <w:basedOn w:val="a7"/>
    <w:link w:val="ac"/>
    <w:qFormat/>
    <w:rPr>
      <w:rFonts w:ascii="宋体" w:hAnsi="Courier New"/>
      <w:szCs w:val="20"/>
    </w:rPr>
  </w:style>
  <w:style w:type="paragraph" w:styleId="ad">
    <w:name w:val="Balloon Text"/>
    <w:basedOn w:val="a7"/>
    <w:link w:val="ae"/>
    <w:uiPriority w:val="99"/>
    <w:semiHidden/>
    <w:unhideWhenUsed/>
    <w:qFormat/>
    <w:rPr>
      <w:sz w:val="18"/>
      <w:szCs w:val="18"/>
    </w:rPr>
  </w:style>
  <w:style w:type="paragraph" w:styleId="af">
    <w:name w:val="footer"/>
    <w:basedOn w:val="a7"/>
    <w:link w:val="af0"/>
    <w:uiPriority w:val="99"/>
    <w:unhideWhenUsed/>
    <w:qFormat/>
    <w:pPr>
      <w:tabs>
        <w:tab w:val="center" w:pos="4153"/>
        <w:tab w:val="right" w:pos="8306"/>
      </w:tabs>
      <w:snapToGrid w:val="0"/>
      <w:jc w:val="left"/>
    </w:pPr>
    <w:rPr>
      <w:sz w:val="18"/>
      <w:szCs w:val="18"/>
    </w:rPr>
  </w:style>
  <w:style w:type="character" w:styleId="af1">
    <w:name w:val="page number"/>
    <w:qFormat/>
    <w:rPr>
      <w:rFonts w:ascii="Times New Roman" w:eastAsia="宋体" w:hAnsi="Times New Roman"/>
      <w:sz w:val="18"/>
    </w:rPr>
  </w:style>
  <w:style w:type="character" w:customStyle="1" w:styleId="20">
    <w:name w:val="标题 2 字符"/>
    <w:basedOn w:val="a8"/>
    <w:link w:val="2"/>
    <w:uiPriority w:val="9"/>
    <w:qFormat/>
    <w:rPr>
      <w:rFonts w:asciiTheme="majorHAnsi" w:eastAsiaTheme="majorEastAsia" w:hAnsiTheme="majorHAnsi" w:cstheme="majorBidi"/>
      <w:b/>
      <w:bCs/>
      <w:sz w:val="28"/>
      <w:szCs w:val="32"/>
    </w:rPr>
  </w:style>
  <w:style w:type="paragraph" w:styleId="af2">
    <w:name w:val="List Paragraph"/>
    <w:basedOn w:val="a7"/>
    <w:uiPriority w:val="34"/>
    <w:qFormat/>
    <w:pPr>
      <w:jc w:val="center"/>
    </w:pPr>
  </w:style>
  <w:style w:type="paragraph" w:customStyle="1" w:styleId="af3">
    <w:name w:val="标准称谓"/>
    <w:next w:val="a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af4">
    <w:name w:val="标准书脚_偶数页"/>
    <w:qFormat/>
    <w:pPr>
      <w:spacing w:before="120"/>
    </w:pPr>
    <w:rPr>
      <w:rFonts w:ascii="Times New Roman" w:eastAsia="宋体" w:hAnsi="Times New Roman" w:cs="Times New Roman"/>
      <w:sz w:val="18"/>
    </w:rPr>
  </w:style>
  <w:style w:type="paragraph" w:customStyle="1" w:styleId="af5">
    <w:name w:val="标准书脚_奇数页"/>
    <w:qFormat/>
    <w:pPr>
      <w:spacing w:before="120"/>
      <w:jc w:val="right"/>
    </w:pPr>
    <w:rPr>
      <w:rFonts w:ascii="Times New Roman" w:eastAsia="宋体" w:hAnsi="Times New Roman" w:cs="Times New Roman"/>
      <w:sz w:val="18"/>
    </w:rPr>
  </w:style>
  <w:style w:type="paragraph" w:customStyle="1" w:styleId="af6">
    <w:name w:val="标准书眉_奇数页"/>
    <w:next w:val="a7"/>
    <w:qFormat/>
    <w:pPr>
      <w:tabs>
        <w:tab w:val="center" w:pos="4154"/>
        <w:tab w:val="right" w:pos="8306"/>
      </w:tabs>
      <w:spacing w:after="120"/>
      <w:jc w:val="right"/>
    </w:pPr>
    <w:rPr>
      <w:rFonts w:ascii="Times New Roman" w:eastAsia="宋体" w:hAnsi="Times New Roman" w:cs="Times New Roman"/>
      <w:sz w:val="21"/>
    </w:rPr>
  </w:style>
  <w:style w:type="paragraph" w:customStyle="1" w:styleId="af7">
    <w:name w:val="标准书眉_偶数页"/>
    <w:basedOn w:val="af6"/>
    <w:next w:val="a7"/>
    <w:qFormat/>
    <w:pPr>
      <w:jc w:val="left"/>
    </w:pPr>
  </w:style>
  <w:style w:type="paragraph" w:customStyle="1" w:styleId="af8">
    <w:name w:val="标准书眉一"/>
    <w:qFormat/>
    <w:pPr>
      <w:jc w:val="both"/>
    </w:pPr>
    <w:rPr>
      <w:rFonts w:ascii="Times New Roman" w:eastAsia="宋体" w:hAnsi="Times New Roman" w:cs="Times New Roman"/>
    </w:rPr>
  </w:style>
  <w:style w:type="paragraph" w:customStyle="1" w:styleId="a0">
    <w:name w:val="前言、引言标题"/>
    <w:next w:val="a7"/>
    <w:qFormat/>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9">
    <w:name w:val="段"/>
    <w:link w:val="Char"/>
    <w:qFormat/>
    <w:pPr>
      <w:autoSpaceDE w:val="0"/>
      <w:autoSpaceDN w:val="0"/>
      <w:ind w:firstLineChars="200" w:firstLine="200"/>
      <w:jc w:val="both"/>
    </w:pPr>
    <w:rPr>
      <w:rFonts w:ascii="宋体" w:eastAsia="宋体" w:hAnsi="Times New Roman" w:cs="Times New Roman"/>
      <w:sz w:val="21"/>
    </w:rPr>
  </w:style>
  <w:style w:type="paragraph" w:customStyle="1" w:styleId="a1">
    <w:name w:val="章标题"/>
    <w:next w:val="af9"/>
    <w:link w:val="Char0"/>
    <w:qFormat/>
    <w:pPr>
      <w:numPr>
        <w:ilvl w:val="1"/>
        <w:numId w:val="1"/>
      </w:numPr>
      <w:spacing w:beforeLines="50" w:afterLines="50"/>
      <w:jc w:val="both"/>
      <w:outlineLvl w:val="1"/>
    </w:pPr>
    <w:rPr>
      <w:rFonts w:ascii="黑体" w:eastAsia="黑体" w:hAnsi="Times New Roman" w:cs="Times New Roman"/>
      <w:sz w:val="21"/>
    </w:rPr>
  </w:style>
  <w:style w:type="paragraph" w:customStyle="1" w:styleId="a2">
    <w:name w:val="一级条标题"/>
    <w:basedOn w:val="a1"/>
    <w:next w:val="af9"/>
    <w:link w:val="Char1"/>
    <w:qFormat/>
    <w:pPr>
      <w:numPr>
        <w:ilvl w:val="2"/>
      </w:numPr>
      <w:spacing w:beforeLines="0" w:afterLines="0"/>
      <w:outlineLvl w:val="2"/>
    </w:pPr>
  </w:style>
  <w:style w:type="paragraph" w:customStyle="1" w:styleId="a3">
    <w:name w:val="二级条标题"/>
    <w:basedOn w:val="a2"/>
    <w:next w:val="af9"/>
    <w:qFormat/>
    <w:pPr>
      <w:numPr>
        <w:ilvl w:val="3"/>
      </w:numPr>
      <w:tabs>
        <w:tab w:val="left" w:pos="360"/>
      </w:tabs>
      <w:outlineLvl w:val="3"/>
    </w:pPr>
  </w:style>
  <w:style w:type="character" w:customStyle="1" w:styleId="afa">
    <w:name w:val="发布"/>
    <w:qFormat/>
    <w:rPr>
      <w:rFonts w:ascii="黑体" w:eastAsia="黑体"/>
      <w:spacing w:val="22"/>
      <w:w w:val="100"/>
      <w:position w:val="3"/>
      <w:sz w:val="28"/>
    </w:rPr>
  </w:style>
  <w:style w:type="paragraph" w:customStyle="1" w:styleId="afb">
    <w:name w:val="发布部门"/>
    <w:next w:val="af9"/>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c">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e">
    <w:name w:val="封面标准文稿类别"/>
    <w:qFormat/>
    <w:pPr>
      <w:spacing w:before="440" w:line="400" w:lineRule="exact"/>
      <w:jc w:val="center"/>
    </w:pPr>
    <w:rPr>
      <w:rFonts w:ascii="宋体" w:eastAsia="宋体" w:hAnsi="Times New Roman" w:cs="Times New Roman"/>
      <w:sz w:val="24"/>
    </w:rPr>
  </w:style>
  <w:style w:type="paragraph" w:customStyle="1" w:styleId="aff">
    <w:name w:val="封面正文"/>
    <w:qFormat/>
    <w:pPr>
      <w:jc w:val="both"/>
    </w:pPr>
    <w:rPr>
      <w:rFonts w:ascii="Times New Roman" w:eastAsia="宋体" w:hAnsi="Times New Roman" w:cs="Times New Roman"/>
    </w:rPr>
  </w:style>
  <w:style w:type="paragraph" w:customStyle="1" w:styleId="aff0">
    <w:name w:val="目次、标准名称标题"/>
    <w:basedOn w:val="a0"/>
    <w:next w:val="af9"/>
    <w:qFormat/>
    <w:pPr>
      <w:numPr>
        <w:numId w:val="0"/>
      </w:numPr>
      <w:spacing w:line="460" w:lineRule="exact"/>
    </w:pPr>
  </w:style>
  <w:style w:type="paragraph" w:customStyle="1" w:styleId="a4">
    <w:name w:val="三级条标题"/>
    <w:basedOn w:val="a3"/>
    <w:next w:val="af9"/>
    <w:qFormat/>
    <w:pPr>
      <w:numPr>
        <w:ilvl w:val="4"/>
      </w:numPr>
      <w:outlineLvl w:val="4"/>
    </w:pPr>
  </w:style>
  <w:style w:type="paragraph" w:customStyle="1" w:styleId="aff1">
    <w:name w:val="实施日期"/>
    <w:basedOn w:val="afc"/>
    <w:qFormat/>
    <w:pPr>
      <w:framePr w:hSpace="0" w:wrap="around" w:xAlign="right"/>
      <w:jc w:val="right"/>
    </w:pPr>
  </w:style>
  <w:style w:type="paragraph" w:customStyle="1" w:styleId="a5">
    <w:name w:val="四级条标题"/>
    <w:basedOn w:val="a4"/>
    <w:next w:val="af9"/>
    <w:qFormat/>
    <w:pPr>
      <w:numPr>
        <w:ilvl w:val="5"/>
      </w:numPr>
      <w:outlineLvl w:val="5"/>
    </w:pPr>
  </w:style>
  <w:style w:type="paragraph" w:customStyle="1" w:styleId="aff2">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6">
    <w:name w:val="五级条标题"/>
    <w:basedOn w:val="a5"/>
    <w:next w:val="af9"/>
    <w:qFormat/>
    <w:pPr>
      <w:numPr>
        <w:ilvl w:val="6"/>
      </w:numPr>
      <w:outlineLvl w:val="6"/>
    </w:pPr>
  </w:style>
  <w:style w:type="character" w:customStyle="1" w:styleId="Char">
    <w:name w:val="段 Char"/>
    <w:link w:val="af9"/>
    <w:qFormat/>
    <w:rPr>
      <w:rFonts w:ascii="宋体" w:eastAsia="宋体" w:hAnsi="Times New Roman" w:cs="Times New Roman"/>
      <w:kern w:val="0"/>
      <w:szCs w:val="20"/>
    </w:rPr>
  </w:style>
  <w:style w:type="character" w:customStyle="1" w:styleId="Char0">
    <w:name w:val="章标题 Char"/>
    <w:link w:val="a1"/>
    <w:qFormat/>
    <w:rPr>
      <w:rFonts w:ascii="黑体" w:eastAsia="黑体" w:hAnsi="Times New Roman" w:cs="Times New Roman"/>
      <w:kern w:val="0"/>
      <w:szCs w:val="20"/>
    </w:rPr>
  </w:style>
  <w:style w:type="character" w:customStyle="1" w:styleId="Char1">
    <w:name w:val="一级条标题 Char"/>
    <w:basedOn w:val="Char0"/>
    <w:link w:val="a2"/>
    <w:qFormat/>
    <w:rPr>
      <w:rFonts w:ascii="黑体" w:eastAsia="黑体" w:hAnsi="Times New Roman" w:cs="Times New Roman"/>
      <w:kern w:val="0"/>
      <w:szCs w:val="20"/>
    </w:rPr>
  </w:style>
  <w:style w:type="character" w:customStyle="1" w:styleId="ac">
    <w:name w:val="纯文本 字符"/>
    <w:basedOn w:val="a8"/>
    <w:link w:val="ab"/>
    <w:qFormat/>
    <w:rPr>
      <w:rFonts w:ascii="宋体" w:eastAsia="宋体" w:hAnsi="Courier New" w:cs="Times New Roman"/>
      <w:szCs w:val="20"/>
    </w:rPr>
  </w:style>
  <w:style w:type="character" w:customStyle="1" w:styleId="ae">
    <w:name w:val="批注框文本 字符"/>
    <w:basedOn w:val="a8"/>
    <w:link w:val="ad"/>
    <w:uiPriority w:val="99"/>
    <w:semiHidden/>
    <w:qFormat/>
    <w:rPr>
      <w:rFonts w:ascii="Times New Roman" w:eastAsia="宋体" w:hAnsi="Times New Roman" w:cs="Times New Roman"/>
      <w:sz w:val="18"/>
      <w:szCs w:val="18"/>
    </w:rPr>
  </w:style>
  <w:style w:type="character" w:customStyle="1" w:styleId="af0">
    <w:name w:val="页脚 字符"/>
    <w:basedOn w:val="a8"/>
    <w:link w:val="af"/>
    <w:uiPriority w:val="99"/>
    <w:qFormat/>
    <w:rPr>
      <w:rFonts w:ascii="Times New Roman" w:eastAsia="宋体" w:hAnsi="Times New Roman" w:cs="Times New Roman"/>
      <w:sz w:val="18"/>
      <w:szCs w:val="18"/>
    </w:rPr>
  </w:style>
  <w:style w:type="paragraph" w:customStyle="1" w:styleId="a">
    <w:name w:val="附录表标题"/>
    <w:basedOn w:val="a7"/>
    <w:next w:val="af9"/>
    <w:qFormat/>
    <w:pPr>
      <w:numPr>
        <w:ilvl w:val="1"/>
        <w:numId w:val="2"/>
      </w:numPr>
      <w:tabs>
        <w:tab w:val="left" w:pos="180"/>
      </w:tabs>
      <w:spacing w:beforeLines="50" w:before="50" w:afterLines="50" w:after="50"/>
      <w:ind w:left="0" w:firstLine="0"/>
      <w:jc w:val="center"/>
    </w:pPr>
    <w:rPr>
      <w:rFonts w:ascii="黑体" w:eastAsia="黑体"/>
      <w:szCs w:val="21"/>
    </w:rPr>
  </w:style>
  <w:style w:type="paragraph" w:customStyle="1" w:styleId="21">
    <w:name w:val="封面标准号2"/>
    <w:basedOn w:val="1"/>
    <w:qFormat/>
    <w:pPr>
      <w:framePr w:w="9138" w:h="1244" w:hRule="exact" w:wrap="auto" w:vAnchor="page" w:hAnchor="margin" w:y="2908"/>
      <w:adjustRightInd w:val="0"/>
      <w:spacing w:before="357" w:line="280" w:lineRule="exact"/>
    </w:pPr>
  </w:style>
  <w:style w:type="paragraph" w:customStyle="1" w:styleId="aff3">
    <w:name w:val="封面标准代替信息"/>
    <w:basedOn w:val="21"/>
    <w:qFormat/>
    <w:pPr>
      <w:framePr w:wrap="auto"/>
      <w:spacing w:before="57"/>
    </w:pPr>
    <w:rPr>
      <w:rFonts w:ascii="宋体"/>
      <w:sz w:val="21"/>
    </w:rPr>
  </w:style>
  <w:style w:type="paragraph" w:customStyle="1" w:styleId="10">
    <w:name w:val="修订1"/>
    <w:hidden/>
    <w:uiPriority w:val="99"/>
    <w:unhideWhenUsed/>
    <w:qFormat/>
    <w:rPr>
      <w:rFonts w:ascii="Times New Roman" w:eastAsia="宋体" w:hAnsi="Times New Roman" w:cs="Times New Roman"/>
      <w:kern w:val="2"/>
      <w:sz w:val="21"/>
      <w:szCs w:val="24"/>
    </w:rPr>
  </w:style>
  <w:style w:type="paragraph" w:styleId="aff4">
    <w:name w:val="Revision"/>
    <w:hidden/>
    <w:uiPriority w:val="99"/>
    <w:unhideWhenUsed/>
    <w:rsid w:val="00084DC9"/>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540</Words>
  <Characters>3083</Characters>
  <Application>Microsoft Office Word</Application>
  <DocSecurity>0</DocSecurity>
  <Lines>25</Lines>
  <Paragraphs>7</Paragraphs>
  <ScaleCrop>false</ScaleCrop>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2</cp:revision>
  <dcterms:created xsi:type="dcterms:W3CDTF">2025-03-20T09:28:00Z</dcterms:created>
  <dcterms:modified xsi:type="dcterms:W3CDTF">2025-03-20T09:28:00Z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6E290C3300DB8AEAD1DBB26743BE3024_42</vt:lpwstr>
  </property>
</Properties>
</file>